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1BB1" w14:textId="6AF8EF30" w:rsidR="00D574D4" w:rsidRPr="00391BF3" w:rsidRDefault="000E3AD0" w:rsidP="00D574D4">
      <w:pPr>
        <w:pStyle w:val="Heading2"/>
        <w:shd w:val="clear" w:color="auto" w:fill="auto"/>
      </w:pPr>
      <w:bookmarkStart w:id="0" w:name="_Toc347830067"/>
      <w:bookmarkStart w:id="1" w:name="Service_reporting_schedule"/>
      <w:r w:rsidRPr="0040389B">
        <w:rPr>
          <w:lang w:val="en-US"/>
        </w:rPr>
        <w:t>Choice and Dignity of Risk</w:t>
      </w:r>
      <w:r w:rsidR="003B368E">
        <w:t xml:space="preserve"> </w:t>
      </w:r>
    </w:p>
    <w:p w14:paraId="5D0C0C39" w14:textId="7C54860D" w:rsidR="00D574D4" w:rsidRDefault="00D574D4" w:rsidP="00D574D4">
      <w:pPr>
        <w:pStyle w:val="Heading3"/>
      </w:pPr>
      <w:r>
        <w:t>Organisation</w:t>
      </w:r>
      <w:r w:rsidRPr="00391BF3">
        <w:t xml:space="preserve"> Statement </w:t>
      </w:r>
    </w:p>
    <w:p w14:paraId="34C171E5" w14:textId="67212261" w:rsidR="000E3AD0" w:rsidRDefault="0040389B" w:rsidP="000E3AD0">
      <w:r w:rsidRPr="0040389B">
        <w:rPr>
          <w:highlight w:val="lightGray"/>
        </w:rPr>
        <w:t>[Your Organisation]</w:t>
      </w:r>
      <w:r w:rsidR="000E3AD0">
        <w:t xml:space="preserve"> acknowledges the right of the consumer to make choices about their life and the care and support they receive. This right includes the ability to accept or decline a service.</w:t>
      </w:r>
    </w:p>
    <w:p w14:paraId="7C3B2119" w14:textId="7188487E" w:rsidR="000E3AD0" w:rsidRDefault="0040389B" w:rsidP="000E3AD0">
      <w:r w:rsidRPr="0040389B">
        <w:rPr>
          <w:highlight w:val="lightGray"/>
        </w:rPr>
        <w:t>[Your Organisation]</w:t>
      </w:r>
      <w:r>
        <w:t xml:space="preserve"> </w:t>
      </w:r>
      <w:r w:rsidR="000E3AD0" w:rsidRPr="00456602">
        <w:t xml:space="preserve">will ensure that appropriate policy and procedures are in place and that service delivery supports a high quality of care </w:t>
      </w:r>
      <w:r w:rsidR="000E3AD0">
        <w:t>that</w:t>
      </w:r>
      <w:r w:rsidR="000E3AD0" w:rsidRPr="00456602">
        <w:t xml:space="preserve"> meets the </w:t>
      </w:r>
      <w:r w:rsidR="000E3AD0">
        <w:t>Aged</w:t>
      </w:r>
      <w:r w:rsidR="000E3AD0" w:rsidRPr="00456602">
        <w:t xml:space="preserve"> Care Standards and the provisions as relevant in the </w:t>
      </w:r>
      <w:r w:rsidR="000E3AD0" w:rsidRPr="00456602">
        <w:rPr>
          <w:i/>
        </w:rPr>
        <w:t>Aged Care Act 1997</w:t>
      </w:r>
      <w:r w:rsidR="000E3AD0">
        <w:t xml:space="preserve"> and </w:t>
      </w:r>
      <w:r w:rsidR="000E3AD0" w:rsidRPr="00D36D67">
        <w:rPr>
          <w:i/>
        </w:rPr>
        <w:t>User Rights Principles.</w:t>
      </w:r>
    </w:p>
    <w:p w14:paraId="0371C428" w14:textId="325560E4" w:rsidR="000E3AD0" w:rsidRDefault="0040389B" w:rsidP="000E3AD0">
      <w:r w:rsidRPr="0040389B">
        <w:rPr>
          <w:highlight w:val="lightGray"/>
        </w:rPr>
        <w:t>[Your Organisation]</w:t>
      </w:r>
      <w:r>
        <w:t xml:space="preserve"> </w:t>
      </w:r>
      <w:r w:rsidR="000E3AD0" w:rsidRPr="00456602">
        <w:t xml:space="preserve">recognises that a client may choose to </w:t>
      </w:r>
      <w:r w:rsidR="00CC0AF2" w:rsidRPr="00593D34">
        <w:rPr>
          <w:highlight w:val="lightGray"/>
        </w:rPr>
        <w:t>disregard</w:t>
      </w:r>
      <w:r w:rsidR="000E3AD0" w:rsidRPr="00456602">
        <w:t xml:space="preserve"> health or care recommendations. </w:t>
      </w:r>
    </w:p>
    <w:p w14:paraId="3E7EE09D" w14:textId="68BE7832" w:rsidR="000E3AD0" w:rsidRPr="00456602" w:rsidRDefault="0040389B" w:rsidP="000E3AD0">
      <w:r w:rsidRPr="0040389B">
        <w:rPr>
          <w:highlight w:val="lightGray"/>
        </w:rPr>
        <w:t>[Your Organisation]</w:t>
      </w:r>
      <w:r>
        <w:t xml:space="preserve"> </w:t>
      </w:r>
      <w:r w:rsidR="000E3AD0">
        <w:t>acknowledges</w:t>
      </w:r>
      <w:r w:rsidR="000E3AD0" w:rsidRPr="00456602">
        <w:t xml:space="preserve"> the right of a client, who understands the implications of their decision, to make choices that may adversely impact on </w:t>
      </w:r>
      <w:r w:rsidR="00A37DEE" w:rsidRPr="00A37DEE">
        <w:rPr>
          <w:highlight w:val="lightGray"/>
        </w:rPr>
        <w:t>them.</w:t>
      </w:r>
      <w:r w:rsidR="000E3AD0" w:rsidRPr="00456602">
        <w:t xml:space="preserve"> </w:t>
      </w:r>
      <w:r w:rsidR="008400A8">
        <w:t>We also recognise that we have a duty of care to ensure that the client has received sufficient information on identified risks, any potential negative outcomes and to assist the client to manage risk as far as possible.</w:t>
      </w:r>
    </w:p>
    <w:p w14:paraId="247BB5B6" w14:textId="66FF97AD" w:rsidR="000E3AD0" w:rsidRPr="00456602" w:rsidRDefault="000E3AD0" w:rsidP="000E3AD0">
      <w:r w:rsidRPr="00456602">
        <w:t>Where an individual is non-compliant</w:t>
      </w:r>
      <w:r>
        <w:t>,</w:t>
      </w:r>
      <w:r w:rsidRPr="00456602">
        <w:t xml:space="preserve"> and the</w:t>
      </w:r>
      <w:r>
        <w:t xml:space="preserve"> </w:t>
      </w:r>
      <w:r w:rsidR="0040389B">
        <w:t xml:space="preserve">Aged Care </w:t>
      </w:r>
      <w:r>
        <w:t>staff believe</w:t>
      </w:r>
      <w:r w:rsidRPr="00456602">
        <w:t xml:space="preserve"> the individual does not understand the implications of non-compliance</w:t>
      </w:r>
      <w:r w:rsidR="00A37DEE">
        <w:t xml:space="preserve">, </w:t>
      </w:r>
      <w:r w:rsidR="00A37DEE" w:rsidRPr="00A37DEE">
        <w:rPr>
          <w:highlight w:val="lightGray"/>
        </w:rPr>
        <w:t>or the risk</w:t>
      </w:r>
      <w:r w:rsidR="008400A8">
        <w:rPr>
          <w:highlight w:val="lightGray"/>
        </w:rPr>
        <w:t>s involved in</w:t>
      </w:r>
      <w:r w:rsidR="00A37DEE" w:rsidRPr="00A37DEE">
        <w:rPr>
          <w:highlight w:val="lightGray"/>
        </w:rPr>
        <w:t xml:space="preserve"> the course of action they are taking/not taking</w:t>
      </w:r>
      <w:r w:rsidRPr="00456602">
        <w:t>,</w:t>
      </w:r>
      <w:r>
        <w:t xml:space="preserve"> staff will speak with relevant health professionals </w:t>
      </w:r>
      <w:r w:rsidRPr="00456602">
        <w:t>and family members about the issue</w:t>
      </w:r>
      <w:r>
        <w:t>,</w:t>
      </w:r>
      <w:r w:rsidRPr="00456602">
        <w:t xml:space="preserve"> to </w:t>
      </w:r>
      <w:r w:rsidR="0040389B">
        <w:t>identify ways</w:t>
      </w:r>
      <w:r w:rsidRPr="00456602">
        <w:t xml:space="preserve"> to assist the client.</w:t>
      </w:r>
    </w:p>
    <w:p w14:paraId="38F6D651" w14:textId="2A9987DA" w:rsidR="000E3AD0" w:rsidRPr="0040389B" w:rsidRDefault="0040389B" w:rsidP="0040389B">
      <w:pPr>
        <w:pStyle w:val="Bullets"/>
        <w:rPr>
          <w:highlight w:val="lightGray"/>
        </w:rPr>
      </w:pPr>
      <w:r w:rsidRPr="0040389B">
        <w:rPr>
          <w:highlight w:val="lightGray"/>
        </w:rPr>
        <w:t>[</w:t>
      </w:r>
      <w:r>
        <w:rPr>
          <w:highlight w:val="lightGray"/>
        </w:rPr>
        <w:t xml:space="preserve">The following statement may or may not be relevant depending on your organisation’s staffing profile: </w:t>
      </w:r>
      <w:r w:rsidR="000E3AD0" w:rsidRPr="0040389B">
        <w:rPr>
          <w:i/>
          <w:highlight w:val="lightGray"/>
        </w:rPr>
        <w:t xml:space="preserve">The </w:t>
      </w:r>
      <w:r w:rsidR="002E4116" w:rsidRPr="0040389B">
        <w:rPr>
          <w:i/>
          <w:highlight w:val="lightGray"/>
        </w:rPr>
        <w:t>Organisation</w:t>
      </w:r>
      <w:r w:rsidR="000E3AD0" w:rsidRPr="0040389B">
        <w:rPr>
          <w:i/>
          <w:highlight w:val="lightGray"/>
        </w:rPr>
        <w:t xml:space="preserve"> is </w:t>
      </w:r>
      <w:r w:rsidR="000E3AD0" w:rsidRPr="0040389B">
        <w:rPr>
          <w:b/>
          <w:i/>
          <w:highlight w:val="lightGray"/>
        </w:rPr>
        <w:t xml:space="preserve">not </w:t>
      </w:r>
      <w:r w:rsidR="000E3AD0" w:rsidRPr="0040389B">
        <w:rPr>
          <w:i/>
          <w:highlight w:val="lightGray"/>
        </w:rPr>
        <w:t>responsible for non-compliance of an individual in the areas of medications. This is the responsibility of registered health professionals such as nurses, health workers and doctors at the relevant community clinic.</w:t>
      </w:r>
      <w:r w:rsidRPr="0040389B">
        <w:rPr>
          <w:highlight w:val="lightGray"/>
        </w:rPr>
        <w:t>]</w:t>
      </w:r>
      <w:r w:rsidR="000E3AD0" w:rsidRPr="0040389B">
        <w:rPr>
          <w:highlight w:val="lightGray"/>
        </w:rPr>
        <w:t xml:space="preserve"> </w:t>
      </w:r>
    </w:p>
    <w:p w14:paraId="18C0AA18" w14:textId="77777777" w:rsidR="001325EF" w:rsidRDefault="001325EF" w:rsidP="001325EF">
      <w:pPr>
        <w:pStyle w:val="Heading3"/>
        <w:tabs>
          <w:tab w:val="left" w:pos="3646"/>
        </w:tabs>
      </w:pPr>
      <w:r>
        <w:t>Responsibilities</w:t>
      </w:r>
      <w:r>
        <w:tab/>
      </w:r>
    </w:p>
    <w:p w14:paraId="324A0E0C" w14:textId="77777777" w:rsidR="001325EF" w:rsidRPr="000E3AD0" w:rsidRDefault="001325EF" w:rsidP="001325EF">
      <w:pPr>
        <w:pStyle w:val="Heading4"/>
      </w:pPr>
      <w:bookmarkStart w:id="2" w:name="_Toc347830010"/>
      <w:r w:rsidRPr="000E3AD0">
        <w:t>Management</w:t>
      </w:r>
      <w:bookmarkEnd w:id="2"/>
    </w:p>
    <w:p w14:paraId="13920980" w14:textId="0835E17C" w:rsidR="00386502" w:rsidRDefault="000E3AD0" w:rsidP="00386502">
      <w:pPr>
        <w:pStyle w:val="Bullets"/>
      </w:pPr>
      <w:r w:rsidRPr="0040389B">
        <w:t xml:space="preserve">Ensure </w:t>
      </w:r>
      <w:r w:rsidR="00A37DEE">
        <w:rPr>
          <w:highlight w:val="lightGray"/>
        </w:rPr>
        <w:t>s</w:t>
      </w:r>
      <w:r w:rsidR="00A37DEE" w:rsidRPr="00A37DEE">
        <w:rPr>
          <w:highlight w:val="lightGray"/>
        </w:rPr>
        <w:t>taff</w:t>
      </w:r>
      <w:r w:rsidRPr="0040389B">
        <w:t xml:space="preserve"> have access to appropriate resources and supports (policies and procedures, forms and administration resources etc.), along with education and training, to support consumer choice and </w:t>
      </w:r>
      <w:r w:rsidR="00A37DEE" w:rsidRPr="00A37DEE">
        <w:rPr>
          <w:highlight w:val="lightGray"/>
        </w:rPr>
        <w:t>decision making.</w:t>
      </w:r>
    </w:p>
    <w:p w14:paraId="507BC132" w14:textId="44AD75F0" w:rsidR="0040389B" w:rsidRDefault="00880F52" w:rsidP="0040389B">
      <w:pPr>
        <w:pStyle w:val="Heading4"/>
      </w:pPr>
      <w:r>
        <w:rPr>
          <w:highlight w:val="lightGray"/>
        </w:rPr>
        <w:t>[Coordinat</w:t>
      </w:r>
      <w:bookmarkStart w:id="3" w:name="_GoBack"/>
      <w:bookmarkEnd w:id="3"/>
      <w:r>
        <w:rPr>
          <w:highlight w:val="lightGray"/>
        </w:rPr>
        <w:t>or</w:t>
      </w:r>
      <w:r w:rsidR="00386502">
        <w:rPr>
          <w:highlight w:val="lightGray"/>
        </w:rPr>
        <w:t xml:space="preserve"> </w:t>
      </w:r>
      <w:r>
        <w:rPr>
          <w:highlight w:val="lightGray"/>
        </w:rPr>
        <w:t xml:space="preserve">/ or </w:t>
      </w:r>
      <w:r w:rsidR="0040389B" w:rsidRPr="00880F52">
        <w:rPr>
          <w:highlight w:val="lightGray"/>
        </w:rPr>
        <w:t>Team Leader</w:t>
      </w:r>
      <w:r w:rsidRPr="00880F52">
        <w:rPr>
          <w:highlight w:val="lightGray"/>
        </w:rPr>
        <w:t xml:space="preserve"> – dependent on your organisation</w:t>
      </w:r>
      <w:r>
        <w:t>]</w:t>
      </w:r>
    </w:p>
    <w:p w14:paraId="4FF55F38" w14:textId="16180C02" w:rsidR="0040389B" w:rsidRDefault="0040389B" w:rsidP="0040389B">
      <w:pPr>
        <w:pStyle w:val="Bullets"/>
      </w:pPr>
      <w:r w:rsidRPr="00081329">
        <w:t xml:space="preserve">Notify </w:t>
      </w:r>
      <w:r>
        <w:t>relevant</w:t>
      </w:r>
      <w:r w:rsidRPr="00081329">
        <w:t xml:space="preserve"> health professionals of non-compliance where medication prompting is a part of the client's Care Plan and staff have concerns about compliance</w:t>
      </w:r>
      <w:r w:rsidR="00880F52">
        <w:t>.</w:t>
      </w:r>
    </w:p>
    <w:p w14:paraId="33915C2A" w14:textId="4A0ABDBE" w:rsidR="00386502" w:rsidRDefault="00386502" w:rsidP="0040389B">
      <w:pPr>
        <w:pStyle w:val="Bullets"/>
      </w:pPr>
      <w:r>
        <w:t>Engage with other stakeholders such as family, GP or other health professionals and ensure that they are aware of the client’s decision/s, identified risks and consequences.</w:t>
      </w:r>
    </w:p>
    <w:p w14:paraId="0C03AC6D" w14:textId="03FA9018" w:rsidR="00386502" w:rsidRPr="0040389B" w:rsidRDefault="00386502" w:rsidP="00386502">
      <w:pPr>
        <w:pStyle w:val="Bullets"/>
      </w:pPr>
      <w:r>
        <w:t>Assist client</w:t>
      </w:r>
      <w:r>
        <w:t>s</w:t>
      </w:r>
      <w:r>
        <w:t xml:space="preserve"> to understand any identified risks and consequences.</w:t>
      </w:r>
    </w:p>
    <w:p w14:paraId="3F5D3AB8" w14:textId="3E768890" w:rsidR="00386502" w:rsidRDefault="00386502" w:rsidP="0040389B">
      <w:pPr>
        <w:pStyle w:val="Bullets"/>
      </w:pPr>
      <w:r>
        <w:t>Escalate to management where there are concerns about the capacity of a client to understand the nature of any risk and consequences.</w:t>
      </w:r>
    </w:p>
    <w:p w14:paraId="6461DDB8" w14:textId="2C7DB81D" w:rsidR="00386502" w:rsidRDefault="00386502" w:rsidP="0040389B">
      <w:pPr>
        <w:pStyle w:val="Bullets"/>
      </w:pPr>
      <w:r>
        <w:t>Ensure client choices are documented including any identified risks and consequences, information that has been communicated to the client and other stakeholders and any interventions or risk mitigation strategies implemented.</w:t>
      </w:r>
    </w:p>
    <w:p w14:paraId="36A840A6" w14:textId="77777777" w:rsidR="001325EF" w:rsidRPr="000E3AD0" w:rsidRDefault="001325EF" w:rsidP="001325EF">
      <w:pPr>
        <w:pStyle w:val="Heading4"/>
      </w:pPr>
      <w:r w:rsidRPr="000E3AD0">
        <w:lastRenderedPageBreak/>
        <w:t>Support Workers</w:t>
      </w:r>
    </w:p>
    <w:p w14:paraId="32602443" w14:textId="246B507A" w:rsidR="000E3AD0" w:rsidRPr="000E3AD0" w:rsidRDefault="000E3AD0" w:rsidP="0040389B">
      <w:pPr>
        <w:pStyle w:val="Bullets"/>
      </w:pPr>
      <w:r w:rsidRPr="000E3AD0">
        <w:t>Work in a way that supports consumer choice and decision making</w:t>
      </w:r>
      <w:r w:rsidR="00880F52">
        <w:t>.</w:t>
      </w:r>
    </w:p>
    <w:p w14:paraId="2D5BFB7A" w14:textId="077C3B67" w:rsidR="000E3AD0" w:rsidRPr="00081329" w:rsidRDefault="000E3AD0" w:rsidP="0040389B">
      <w:pPr>
        <w:pStyle w:val="Bullets"/>
      </w:pPr>
      <w:r w:rsidRPr="00081329">
        <w:t xml:space="preserve">Alert </w:t>
      </w:r>
      <w:r w:rsidR="00A37DEE" w:rsidRPr="00A37DEE">
        <w:rPr>
          <w:highlight w:val="lightGray"/>
        </w:rPr>
        <w:t xml:space="preserve">the </w:t>
      </w:r>
      <w:r w:rsidR="00CC0AF2" w:rsidRPr="00A37DEE">
        <w:rPr>
          <w:highlight w:val="lightGray"/>
        </w:rPr>
        <w:t>Coordinator</w:t>
      </w:r>
      <w:r w:rsidR="0040389B">
        <w:t xml:space="preserve"> </w:t>
      </w:r>
      <w:r w:rsidRPr="00081329">
        <w:t xml:space="preserve">to client decisions or actions that lead to non-compliance </w:t>
      </w:r>
      <w:r w:rsidRPr="00A37DEE">
        <w:rPr>
          <w:highlight w:val="lightGray"/>
        </w:rPr>
        <w:t>and</w:t>
      </w:r>
      <w:r w:rsidR="00A37DEE" w:rsidRPr="00A37DEE">
        <w:rPr>
          <w:highlight w:val="lightGray"/>
        </w:rPr>
        <w:t>/or</w:t>
      </w:r>
      <w:r w:rsidR="00A37DEE">
        <w:t xml:space="preserve"> </w:t>
      </w:r>
      <w:r w:rsidRPr="00081329">
        <w:t xml:space="preserve"> where </w:t>
      </w:r>
      <w:r w:rsidR="00880F52" w:rsidRPr="00081329">
        <w:t xml:space="preserve">these </w:t>
      </w:r>
      <w:r w:rsidR="00A37DEE" w:rsidRPr="00A37DEE">
        <w:rPr>
          <w:highlight w:val="lightGray"/>
        </w:rPr>
        <w:t>have the potential to</w:t>
      </w:r>
      <w:r w:rsidR="00A37DEE">
        <w:t xml:space="preserve"> </w:t>
      </w:r>
      <w:r w:rsidR="00880F52" w:rsidRPr="00081329">
        <w:t>impact</w:t>
      </w:r>
      <w:r w:rsidR="00A37DEE">
        <w:t xml:space="preserve"> </w:t>
      </w:r>
      <w:r w:rsidRPr="00081329">
        <w:t>negatively on the well-being of the client</w:t>
      </w:r>
      <w:r w:rsidR="00880F52">
        <w:t>.</w:t>
      </w:r>
    </w:p>
    <w:p w14:paraId="3CCB48B1" w14:textId="40264002" w:rsidR="000E3AD0" w:rsidRDefault="000E3AD0" w:rsidP="0040389B">
      <w:pPr>
        <w:pStyle w:val="Bullets"/>
      </w:pPr>
      <w:r w:rsidRPr="00081329">
        <w:t>Ensure all client decisions that may have a negative impact on the wellbeing of the individual are clearly documented</w:t>
      </w:r>
      <w:r w:rsidR="00880F52">
        <w:t>.</w:t>
      </w:r>
    </w:p>
    <w:p w14:paraId="1672612C" w14:textId="2F91F705" w:rsidR="003548E1" w:rsidRPr="003548E1" w:rsidRDefault="003548E1" w:rsidP="003548E1">
      <w:pPr>
        <w:pStyle w:val="Heading3"/>
      </w:pPr>
      <w:r>
        <w:t>Procedures</w:t>
      </w:r>
    </w:p>
    <w:p w14:paraId="1D5007AF" w14:textId="1B12A123" w:rsidR="000E3AD0" w:rsidRPr="00AB4DE6" w:rsidRDefault="000E3AD0" w:rsidP="000E3AD0">
      <w:pPr>
        <w:rPr>
          <w:b/>
          <w:sz w:val="24"/>
        </w:rPr>
      </w:pPr>
      <w:r w:rsidRPr="00AB4DE6">
        <w:rPr>
          <w:b/>
          <w:sz w:val="24"/>
        </w:rPr>
        <w:t>Non-compliance and declined services/support</w:t>
      </w:r>
    </w:p>
    <w:p w14:paraId="2243805E" w14:textId="77777777" w:rsidR="000E3AD0" w:rsidRPr="00AB4DE6" w:rsidRDefault="000E3AD0" w:rsidP="000E3AD0">
      <w:r w:rsidRPr="00AB4DE6">
        <w:t xml:space="preserve">Where a client and/or their carer declines a service or support, or is non-compliant in self-care, e.g. medication management, </w:t>
      </w:r>
      <w:r w:rsidRPr="00AB4DE6">
        <w:rPr>
          <w:b/>
        </w:rPr>
        <w:t>staff should</w:t>
      </w:r>
      <w:r w:rsidRPr="00AB4DE6">
        <w:t>:</w:t>
      </w:r>
    </w:p>
    <w:p w14:paraId="12A06E0B" w14:textId="601EA626" w:rsidR="000E3AD0" w:rsidRPr="00AB4DE6" w:rsidRDefault="000E3AD0" w:rsidP="0040389B">
      <w:pPr>
        <w:pStyle w:val="Bullets"/>
      </w:pPr>
      <w:r w:rsidRPr="00AB4DE6">
        <w:t>Work with clients, carers and family members in addressing issues to support problem solving and tailor workable solutions</w:t>
      </w:r>
      <w:r w:rsidR="00880F52">
        <w:t>.</w:t>
      </w:r>
    </w:p>
    <w:p w14:paraId="2FAA51F2" w14:textId="12D8F572" w:rsidR="000E3AD0" w:rsidRPr="00AB4DE6" w:rsidRDefault="000E3AD0" w:rsidP="0040389B">
      <w:pPr>
        <w:pStyle w:val="Bullets"/>
      </w:pPr>
      <w:r w:rsidRPr="00AB4DE6">
        <w:t>If a reason for the decision is identified and can be remedied this should be documented in the client's progress notes along with any changes to their Care Plan and raised with Management as appropriate</w:t>
      </w:r>
      <w:r w:rsidR="00880F52">
        <w:t>.</w:t>
      </w:r>
    </w:p>
    <w:p w14:paraId="3416825D" w14:textId="284CD0A3" w:rsidR="000E3AD0" w:rsidRPr="00235842" w:rsidRDefault="000E3AD0" w:rsidP="0040389B">
      <w:pPr>
        <w:pStyle w:val="Bullets"/>
      </w:pPr>
      <w:r w:rsidRPr="00AB4DE6">
        <w:t>Where the client places himself or herself in a position of risk through their choices</w:t>
      </w:r>
      <w:r>
        <w:t xml:space="preserve">, or </w:t>
      </w:r>
      <w:r w:rsidRPr="00235842">
        <w:t>there are concerns about a client's ability to assess risk</w:t>
      </w:r>
      <w:r w:rsidR="0040389B">
        <w:t>,</w:t>
      </w:r>
      <w:r w:rsidRPr="00AB4DE6">
        <w:t xml:space="preserve"> this </w:t>
      </w:r>
      <w:r w:rsidR="0040389B">
        <w:t>will</w:t>
      </w:r>
      <w:r w:rsidRPr="00AB4DE6">
        <w:t xml:space="preserve"> be discussed with the</w:t>
      </w:r>
      <w:r w:rsidRPr="00235842">
        <w:t xml:space="preserve"> client and their carer</w:t>
      </w:r>
      <w:r w:rsidR="00880F52">
        <w:t>.</w:t>
      </w:r>
    </w:p>
    <w:p w14:paraId="5E93EE45" w14:textId="25ECB5DD" w:rsidR="000E3AD0" w:rsidRPr="00235842" w:rsidRDefault="000E3AD0" w:rsidP="0040389B">
      <w:pPr>
        <w:pStyle w:val="Bullets"/>
      </w:pPr>
      <w:r w:rsidRPr="00235842">
        <w:t xml:space="preserve">If a serious concern is identified regarding client safety </w:t>
      </w:r>
      <w:r>
        <w:t xml:space="preserve">and wellbeing, </w:t>
      </w:r>
      <w:r w:rsidRPr="00235842">
        <w:t>thi</w:t>
      </w:r>
      <w:r>
        <w:t xml:space="preserve">s </w:t>
      </w:r>
      <w:r w:rsidR="0040389B">
        <w:t>will</w:t>
      </w:r>
      <w:r>
        <w:t xml:space="preserve"> be referred directly to Management</w:t>
      </w:r>
      <w:r w:rsidR="00880F52">
        <w:t>.</w:t>
      </w:r>
    </w:p>
    <w:p w14:paraId="6C28A7A7" w14:textId="05099F0E" w:rsidR="000E3AD0" w:rsidRPr="00AB4DE6" w:rsidRDefault="000E3AD0" w:rsidP="0040389B">
      <w:pPr>
        <w:pStyle w:val="Bullets"/>
      </w:pPr>
      <w:r w:rsidRPr="00AB4DE6">
        <w:t xml:space="preserve">If the issue cannot be resolved, all matters related to non-compliance </w:t>
      </w:r>
      <w:r w:rsidR="0040389B" w:rsidRPr="00AB4DE6">
        <w:t xml:space="preserve">and/or declined services/supports </w:t>
      </w:r>
      <w:r w:rsidR="0040389B">
        <w:t xml:space="preserve">are to be </w:t>
      </w:r>
      <w:r w:rsidR="0040389B" w:rsidRPr="00AB4DE6">
        <w:t>document</w:t>
      </w:r>
      <w:r w:rsidR="0040389B">
        <w:t>ed</w:t>
      </w:r>
      <w:r w:rsidR="0040389B" w:rsidRPr="00AB4DE6">
        <w:t xml:space="preserve"> </w:t>
      </w:r>
      <w:r w:rsidRPr="00AB4DE6">
        <w:t>and escalate</w:t>
      </w:r>
      <w:r w:rsidR="0040389B">
        <w:t>d</w:t>
      </w:r>
      <w:r w:rsidRPr="00AB4DE6">
        <w:t xml:space="preserve"> to management for further action, e.g. family meeting, referral for external support, e.g. health practitioner review</w:t>
      </w:r>
      <w:r w:rsidR="00880F52">
        <w:t>.</w:t>
      </w:r>
    </w:p>
    <w:p w14:paraId="6EB4A2A8" w14:textId="5D277F4D" w:rsidR="000E3AD0" w:rsidRPr="00AB4DE6" w:rsidRDefault="0040389B" w:rsidP="0040389B">
      <w:pPr>
        <w:pStyle w:val="Bullets"/>
      </w:pPr>
      <w:r>
        <w:t>R</w:t>
      </w:r>
      <w:r w:rsidR="000E3AD0" w:rsidRPr="00AB4DE6">
        <w:t>evised services or supports should be put in place as soon as possible to enable positive client outcomes e.g. a client may not want a morning shower in winter due to cold weather, a remedy could be to change the timing of the shower</w:t>
      </w:r>
      <w:r w:rsidR="00880F52">
        <w:t>.</w:t>
      </w:r>
    </w:p>
    <w:p w14:paraId="22D103F0" w14:textId="6B32CFE7" w:rsidR="000E3AD0" w:rsidRPr="00675B0A" w:rsidRDefault="00880F52" w:rsidP="0040389B">
      <w:pPr>
        <w:pStyle w:val="Bullets"/>
      </w:pPr>
      <w:r>
        <w:t>Refer</w:t>
      </w:r>
      <w:r w:rsidR="000E3AD0">
        <w:t xml:space="preserve"> to</w:t>
      </w:r>
      <w:r w:rsidR="000E3AD0" w:rsidRPr="00456602">
        <w:t xml:space="preserve"> relevant agencies e.g. Adult Guardianship, Palliative Care, Allied Health</w:t>
      </w:r>
      <w:r w:rsidR="000E3AD0">
        <w:t xml:space="preserve"> </w:t>
      </w:r>
      <w:r>
        <w:t>as</w:t>
      </w:r>
      <w:r w:rsidR="000E3AD0">
        <w:t xml:space="preserve"> required</w:t>
      </w:r>
      <w:r>
        <w:t>,</w:t>
      </w:r>
      <w:r w:rsidR="000E3AD0">
        <w:t xml:space="preserve"> where the person and/or their carer does not have </w:t>
      </w:r>
      <w:r>
        <w:t xml:space="preserve">the </w:t>
      </w:r>
      <w:r w:rsidR="000E3AD0">
        <w:t xml:space="preserve">capacity to assess </w:t>
      </w:r>
      <w:proofErr w:type="gramStart"/>
      <w:r w:rsidR="000E3AD0">
        <w:t>risk, or</w:t>
      </w:r>
      <w:proofErr w:type="gramEnd"/>
      <w:r w:rsidR="000E3AD0">
        <w:t xml:space="preserve"> is making a choice that may be harmful to them</w:t>
      </w:r>
      <w:r>
        <w:t>.</w:t>
      </w:r>
    </w:p>
    <w:p w14:paraId="4790E03C" w14:textId="77777777" w:rsidR="000E3AD0" w:rsidRDefault="000E3AD0" w:rsidP="000E3AD0">
      <w:pPr>
        <w:pStyle w:val="Heading3"/>
      </w:pPr>
      <w:r w:rsidRPr="00391BF3">
        <w:t>Related Links and References</w:t>
      </w:r>
    </w:p>
    <w:p w14:paraId="1BF733AB" w14:textId="77777777" w:rsidR="000E3AD0" w:rsidRDefault="000E3AD0" w:rsidP="000E3AD0">
      <w:pPr>
        <w:rPr>
          <w:rStyle w:val="Hyperlink"/>
        </w:rPr>
      </w:pPr>
      <w:r>
        <w:t xml:space="preserve">My Aged Care </w:t>
      </w:r>
      <w:hyperlink r:id="rId8" w:history="1">
        <w:r w:rsidRPr="00482E38">
          <w:rPr>
            <w:rStyle w:val="Hyperlink"/>
          </w:rPr>
          <w:t>https://www.myage</w:t>
        </w:r>
        <w:r w:rsidRPr="00482E38">
          <w:rPr>
            <w:rStyle w:val="Hyperlink"/>
          </w:rPr>
          <w:t>d</w:t>
        </w:r>
        <w:r w:rsidRPr="00482E38">
          <w:rPr>
            <w:rStyle w:val="Hyperlink"/>
          </w:rPr>
          <w:t>care.gov.au</w:t>
        </w:r>
      </w:hyperlink>
    </w:p>
    <w:p w14:paraId="7585E0BD" w14:textId="77777777" w:rsidR="000E3AD0" w:rsidRPr="00D76F41" w:rsidRDefault="000E3AD0" w:rsidP="000E3AD0">
      <w:r w:rsidRPr="00D76F41">
        <w:t>Legislated Rights and</w:t>
      </w:r>
      <w:r>
        <w:t xml:space="preserve"> Responsibilities Providers and Consumers </w:t>
      </w:r>
      <w:hyperlink r:id="rId9" w:history="1">
        <w:r w:rsidRPr="00F0314C">
          <w:rPr>
            <w:rStyle w:val="Hyperlink"/>
          </w:rPr>
          <w:t>https://agedcare.health.gov.au/pr</w:t>
        </w:r>
        <w:r w:rsidRPr="00F0314C">
          <w:rPr>
            <w:rStyle w:val="Hyperlink"/>
          </w:rPr>
          <w:t>o</w:t>
        </w:r>
        <w:r w:rsidRPr="00F0314C">
          <w:rPr>
            <w:rStyle w:val="Hyperlink"/>
          </w:rPr>
          <w:t>grams-services/home-care/legislated-rights-and-responsibilities-of-providers-and-consumers</w:t>
        </w:r>
      </w:hyperlink>
      <w:r>
        <w:t xml:space="preserve"> </w:t>
      </w:r>
    </w:p>
    <w:p w14:paraId="2C0BA6A7" w14:textId="77777777" w:rsidR="000E3AD0" w:rsidRDefault="000E3AD0" w:rsidP="000E3AD0">
      <w:pPr>
        <w:pStyle w:val="Heading3"/>
      </w:pPr>
      <w:r>
        <w:t>Forms / Registers</w:t>
      </w:r>
    </w:p>
    <w:p w14:paraId="56050F09" w14:textId="77777777" w:rsidR="000E3AD0" w:rsidRDefault="000E3AD0" w:rsidP="000E3AD0">
      <w:pPr>
        <w:rPr>
          <w:lang w:val="en-US"/>
        </w:rPr>
      </w:pPr>
      <w:r w:rsidRPr="00997A9D">
        <w:rPr>
          <w:highlight w:val="lightGray"/>
          <w:lang w:val="en-US"/>
        </w:rPr>
        <w:t>Care Plan</w:t>
      </w:r>
    </w:p>
    <w:p w14:paraId="3F61864B" w14:textId="58963A32" w:rsidR="00A37DEE" w:rsidRDefault="00997A9D" w:rsidP="000E3AD0">
      <w:pPr>
        <w:rPr>
          <w:lang w:val="en-US"/>
        </w:rPr>
      </w:pPr>
      <w:r w:rsidRPr="00997A9D">
        <w:rPr>
          <w:highlight w:val="lightGray"/>
          <w:lang w:val="en-US"/>
        </w:rPr>
        <w:t>Dignity of Risk Support Tool</w:t>
      </w:r>
    </w:p>
    <w:p w14:paraId="04B450DF" w14:textId="77777777" w:rsidR="000E3AD0" w:rsidRPr="009C518E" w:rsidRDefault="000E3AD0" w:rsidP="000E3AD0">
      <w:pPr>
        <w:rPr>
          <w:lang w:val="en-US"/>
        </w:rPr>
      </w:pPr>
      <w:r w:rsidRPr="00997A9D">
        <w:rPr>
          <w:highlight w:val="lightGray"/>
          <w:lang w:val="en-US"/>
        </w:rPr>
        <w:t>Referral form/s</w:t>
      </w:r>
    </w:p>
    <w:p w14:paraId="148F1EFB" w14:textId="77777777" w:rsidR="000E3AD0" w:rsidRPr="00391BF3" w:rsidRDefault="000E3AD0" w:rsidP="000E3AD0">
      <w:pPr>
        <w:pStyle w:val="Heading3"/>
      </w:pPr>
      <w:r w:rsidRPr="00391BF3">
        <w:lastRenderedPageBreak/>
        <w:t>Relevant Standards and Legislation</w:t>
      </w:r>
    </w:p>
    <w:p w14:paraId="51A43DDA" w14:textId="77777777" w:rsidR="000E3AD0" w:rsidRPr="00456602" w:rsidRDefault="000E3AD0" w:rsidP="000E3AD0">
      <w:pPr>
        <w:rPr>
          <w:i/>
        </w:rPr>
      </w:pPr>
      <w:r w:rsidRPr="00456602">
        <w:rPr>
          <w:i/>
        </w:rPr>
        <w:t>Aged Care Act</w:t>
      </w:r>
      <w:r w:rsidRPr="00456602">
        <w:rPr>
          <w:i/>
        </w:rPr>
        <w:fldChar w:fldCharType="begin"/>
      </w:r>
      <w:r w:rsidRPr="00456602">
        <w:rPr>
          <w:i/>
        </w:rPr>
        <w:instrText xml:space="preserve"> XE "Aged Care Act" </w:instrText>
      </w:r>
      <w:r w:rsidRPr="00456602">
        <w:rPr>
          <w:i/>
        </w:rPr>
        <w:fldChar w:fldCharType="end"/>
      </w:r>
      <w:r w:rsidRPr="00456602">
        <w:rPr>
          <w:i/>
        </w:rPr>
        <w:t xml:space="preserve"> 1997</w:t>
      </w:r>
    </w:p>
    <w:p w14:paraId="24E5B6A7" w14:textId="77777777" w:rsidR="000E3AD0" w:rsidRDefault="000E3AD0" w:rsidP="000E3AD0">
      <w:pPr>
        <w:shd w:val="clear" w:color="auto" w:fill="FFFFFF" w:themeFill="background1"/>
        <w:rPr>
          <w:rFonts w:cs="Tahoma"/>
        </w:rPr>
      </w:pPr>
      <w:r w:rsidRPr="00456602">
        <w:rPr>
          <w:i/>
        </w:rPr>
        <w:t xml:space="preserve">Privacy Act </w:t>
      </w:r>
      <w:r>
        <w:rPr>
          <w:i/>
        </w:rPr>
        <w:t xml:space="preserve">1988 </w:t>
      </w:r>
      <w:r w:rsidRPr="004D6899">
        <w:t>(Cth)</w:t>
      </w:r>
      <w:r w:rsidRPr="004D6899">
        <w:rPr>
          <w:rFonts w:cs="Tahoma"/>
        </w:rPr>
        <w:t xml:space="preserve"> </w:t>
      </w:r>
    </w:p>
    <w:p w14:paraId="1B9CF212" w14:textId="77777777" w:rsidR="000E3AD0" w:rsidRDefault="000E3AD0" w:rsidP="000E3AD0">
      <w:pPr>
        <w:rPr>
          <w:rFonts w:cs="Tahoma"/>
          <w:i/>
        </w:rPr>
      </w:pPr>
      <w:r>
        <w:rPr>
          <w:rFonts w:cs="Tahoma"/>
          <w:i/>
        </w:rPr>
        <w:t>User Rights Principles 2014</w:t>
      </w:r>
    </w:p>
    <w:p w14:paraId="6EFF685D" w14:textId="77777777" w:rsidR="000E3AD0" w:rsidRDefault="000E3AD0" w:rsidP="000E3AD0">
      <w:pPr>
        <w:rPr>
          <w:rFonts w:cs="Tahoma"/>
          <w:i/>
        </w:rPr>
      </w:pPr>
      <w:r>
        <w:rPr>
          <w:rFonts w:cs="Tahoma"/>
          <w:i/>
        </w:rPr>
        <w:t>Quality of Care Principles 2014</w:t>
      </w:r>
    </w:p>
    <w:p w14:paraId="74B043B0" w14:textId="77777777" w:rsidR="003548E1" w:rsidRPr="009C518E" w:rsidRDefault="003548E1" w:rsidP="003548E1">
      <w:pPr>
        <w:shd w:val="clear" w:color="auto" w:fill="FFFFFF" w:themeFill="background1"/>
        <w:rPr>
          <w:rFonts w:cs="Tahoma"/>
        </w:rPr>
      </w:pPr>
      <w:r>
        <w:rPr>
          <w:rFonts w:cs="Tahoma"/>
        </w:rPr>
        <w:t>Charter of Aged Care Rights</w:t>
      </w:r>
    </w:p>
    <w:p w14:paraId="5753B118" w14:textId="32EE12C7" w:rsidR="000E3AD0" w:rsidRPr="000E3AD0" w:rsidRDefault="000E3AD0" w:rsidP="000E3AD0">
      <w:pPr>
        <w:shd w:val="clear" w:color="auto" w:fill="FFFFFF" w:themeFill="background1"/>
        <w:rPr>
          <w:rFonts w:cs="Tahoma"/>
        </w:rPr>
      </w:pPr>
      <w:r w:rsidRPr="000E3AD0">
        <w:rPr>
          <w:rFonts w:cs="Tahoma"/>
        </w:rPr>
        <w:t>Aged Care Standards</w:t>
      </w:r>
      <w:bookmarkStart w:id="4" w:name="_1.3.2_Non-compliance_of"/>
      <w:bookmarkEnd w:id="4"/>
      <w:r w:rsidRPr="000E3AD0">
        <w:rPr>
          <w:rFonts w:cs="Tahoma"/>
        </w:rPr>
        <w:t xml:space="preserve">, specifically </w:t>
      </w:r>
      <w:r w:rsidRPr="000E3AD0">
        <w:rPr>
          <w:rFonts w:cs="Tahoma"/>
          <w:b/>
        </w:rPr>
        <w:t>Standards 1 and 2</w:t>
      </w:r>
    </w:p>
    <w:p w14:paraId="4ADD9D73" w14:textId="77777777" w:rsidR="000E3AD0" w:rsidRDefault="000E3AD0" w:rsidP="000E3AD0">
      <w:pPr>
        <w:rPr>
          <w:rFonts w:cs="Tahoma"/>
          <w:szCs w:val="22"/>
        </w:rPr>
      </w:pPr>
    </w:p>
    <w:p w14:paraId="18B609F8" w14:textId="77777777" w:rsidR="006259C2" w:rsidRPr="00624CF9" w:rsidRDefault="006259C2" w:rsidP="006259C2">
      <w:pPr>
        <w:rPr>
          <w:i/>
          <w:highlight w:val="lightGray"/>
        </w:rPr>
      </w:pPr>
      <w:r w:rsidRPr="00624CF9">
        <w:rPr>
          <w:i/>
          <w:highlight w:val="lightGray"/>
        </w:rPr>
        <w:t>Disability Services Act 1986 (Commonwealth)</w:t>
      </w:r>
    </w:p>
    <w:p w14:paraId="1AA927F8" w14:textId="7C08DD3B" w:rsidR="006259C2" w:rsidRPr="00624CF9" w:rsidRDefault="006259C2" w:rsidP="006259C2">
      <w:pPr>
        <w:rPr>
          <w:i/>
          <w:highlight w:val="lightGray"/>
        </w:rPr>
      </w:pPr>
      <w:r w:rsidRPr="00624CF9">
        <w:rPr>
          <w:i/>
          <w:highlight w:val="lightGray"/>
        </w:rPr>
        <w:t xml:space="preserve">Disability Services Act </w:t>
      </w:r>
      <w:r w:rsidR="0040389B" w:rsidRPr="00624CF9">
        <w:rPr>
          <w:i/>
          <w:highlight w:val="lightGray"/>
        </w:rPr>
        <w:t>[Date</w:t>
      </w:r>
      <w:r w:rsidRPr="00624CF9">
        <w:rPr>
          <w:i/>
          <w:highlight w:val="lightGray"/>
        </w:rPr>
        <w:t xml:space="preserve"> (</w:t>
      </w:r>
      <w:r w:rsidR="0040389B" w:rsidRPr="00624CF9">
        <w:rPr>
          <w:i/>
          <w:highlight w:val="lightGray"/>
        </w:rPr>
        <w:t>your State or Territory</w:t>
      </w:r>
      <w:r w:rsidRPr="00624CF9">
        <w:rPr>
          <w:i/>
          <w:highlight w:val="lightGray"/>
        </w:rPr>
        <w:t>)</w:t>
      </w:r>
      <w:r w:rsidR="0040389B" w:rsidRPr="00624CF9">
        <w:rPr>
          <w:highlight w:val="lightGray"/>
        </w:rPr>
        <w:t>]</w:t>
      </w:r>
    </w:p>
    <w:p w14:paraId="666F0366" w14:textId="77777777" w:rsidR="006259C2" w:rsidRPr="00624CF9" w:rsidRDefault="006259C2" w:rsidP="006259C2">
      <w:pPr>
        <w:rPr>
          <w:i/>
          <w:highlight w:val="lightGray"/>
        </w:rPr>
      </w:pPr>
      <w:r w:rsidRPr="00624CF9">
        <w:rPr>
          <w:i/>
          <w:highlight w:val="lightGray"/>
        </w:rPr>
        <w:t>National Disability Insurance Scheme Act 2013 (Commonwealth)</w:t>
      </w:r>
    </w:p>
    <w:p w14:paraId="4BE243A2" w14:textId="77777777" w:rsidR="006259C2" w:rsidRPr="00624CF9" w:rsidRDefault="006259C2" w:rsidP="006259C2">
      <w:pPr>
        <w:rPr>
          <w:rFonts w:cs="Tahoma"/>
          <w:highlight w:val="lightGray"/>
        </w:rPr>
      </w:pPr>
      <w:r w:rsidRPr="00624CF9">
        <w:rPr>
          <w:rFonts w:cs="Tahoma"/>
          <w:highlight w:val="lightGray"/>
        </w:rPr>
        <w:t>Disability Standards</w:t>
      </w:r>
    </w:p>
    <w:p w14:paraId="4249870D" w14:textId="77777777" w:rsidR="006259C2" w:rsidRPr="00624CF9" w:rsidRDefault="006259C2" w:rsidP="006259C2">
      <w:pPr>
        <w:rPr>
          <w:highlight w:val="lightGray"/>
        </w:rPr>
      </w:pPr>
      <w:r w:rsidRPr="00624CF9">
        <w:rPr>
          <w:highlight w:val="lightGray"/>
        </w:rPr>
        <w:t>National Disability Insurance Scheme (NDIS) Quality and Safeguarding Framework </w:t>
      </w:r>
    </w:p>
    <w:p w14:paraId="519C2525" w14:textId="77777777" w:rsidR="001325EF" w:rsidRDefault="001325EF" w:rsidP="001325EF">
      <w:pPr>
        <w:spacing w:before="0" w:after="200" w:line="276" w:lineRule="auto"/>
        <w:rPr>
          <w:rFonts w:cstheme="minorBidi"/>
          <w:bCs/>
          <w:noProof/>
          <w:color w:val="000000" w:themeColor="text1"/>
          <w:sz w:val="28"/>
          <w:szCs w:val="20"/>
          <w:lang w:val="en-US"/>
        </w:rPr>
      </w:pPr>
      <w:r>
        <w:br w:type="page"/>
      </w:r>
    </w:p>
    <w:p w14:paraId="226EB90D" w14:textId="58F39751" w:rsidR="00F620B6" w:rsidRDefault="00F620B6" w:rsidP="00F620B6">
      <w:pPr>
        <w:pStyle w:val="Heading3"/>
      </w:pPr>
      <w:r>
        <w:lastRenderedPageBreak/>
        <w:t>Review Triggers</w:t>
      </w:r>
    </w:p>
    <w:p w14:paraId="0CBDE192" w14:textId="4AFD169A" w:rsidR="00F620B6" w:rsidRDefault="00880F52" w:rsidP="00F620B6">
      <w:r>
        <w:t xml:space="preserve">This </w:t>
      </w:r>
      <w:r w:rsidR="00D76868" w:rsidRPr="00DD41AE">
        <w:rPr>
          <w:highlight w:val="lightGray"/>
        </w:rPr>
        <w:t>policy</w:t>
      </w:r>
      <w:r w:rsidR="00D76868">
        <w:rPr>
          <w:highlight w:val="lightGray"/>
        </w:rPr>
        <w:t>/procedure</w:t>
      </w:r>
      <w:r w:rsidR="00F620B6">
        <w:t xml:space="preserve"> is reviewed internally for applicability, continuing effect and consistency with related documents and other legislative provisions when any of the following occurs:</w:t>
      </w:r>
    </w:p>
    <w:p w14:paraId="6B835A34" w14:textId="77777777" w:rsidR="00F620B6" w:rsidRPr="00DC1621" w:rsidRDefault="00F620B6" w:rsidP="00F620B6">
      <w:pPr>
        <w:ind w:left="567" w:hanging="567"/>
      </w:pPr>
      <w:r w:rsidRPr="00DC1621">
        <w:t>1.      The related documents are amended.</w:t>
      </w:r>
    </w:p>
    <w:p w14:paraId="292877A0" w14:textId="77777777" w:rsidR="00F620B6" w:rsidRPr="00DC1621" w:rsidRDefault="00F620B6" w:rsidP="00F620B6">
      <w:pPr>
        <w:ind w:left="567" w:hanging="567"/>
      </w:pPr>
      <w:r w:rsidRPr="00DC1621">
        <w:t>2.      The related documents are replaced by new documents.</w:t>
      </w:r>
    </w:p>
    <w:p w14:paraId="1081FCFC" w14:textId="77777777" w:rsidR="00F620B6" w:rsidRPr="00DC1621" w:rsidRDefault="00F620B6" w:rsidP="00F620B6">
      <w:pPr>
        <w:ind w:left="567" w:hanging="567"/>
      </w:pPr>
      <w:r w:rsidRPr="00DC1621">
        <w:t>3.      Industry, legislation or service agreement changes may necessitate modifications to procedures.</w:t>
      </w:r>
    </w:p>
    <w:p w14:paraId="6C44620C" w14:textId="2B102A36" w:rsidR="00F620B6" w:rsidRDefault="00F620B6" w:rsidP="003548E1">
      <w:pPr>
        <w:ind w:left="567" w:hanging="567"/>
      </w:pPr>
      <w:r w:rsidRPr="00DC1621">
        <w:t>4.      Other</w:t>
      </w:r>
      <w:r>
        <w:t xml:space="preserve"> circumstances as determined from time to time by a resolution </w:t>
      </w:r>
      <w:r w:rsidRPr="00967A0F">
        <w:t xml:space="preserve">of </w:t>
      </w:r>
      <w:r w:rsidRPr="00D04107">
        <w:t xml:space="preserve">the </w:t>
      </w:r>
      <w:r w:rsidR="002E4116">
        <w:t>Organisation</w:t>
      </w:r>
      <w:r w:rsidR="00D04107" w:rsidRPr="00D04107">
        <w:t>.</w:t>
      </w:r>
    </w:p>
    <w:p w14:paraId="16724DC3" w14:textId="791E5B64" w:rsidR="00F620B6" w:rsidRPr="00967A0F" w:rsidRDefault="00F620B6" w:rsidP="00F620B6">
      <w:r w:rsidRPr="00967A0F">
        <w:t xml:space="preserve">Notwithstanding the above, </w:t>
      </w:r>
      <w:r w:rsidRPr="00D04107">
        <w:t>the organisation</w:t>
      </w:r>
      <w:r>
        <w:t xml:space="preserve"> </w:t>
      </w:r>
      <w:r w:rsidRPr="00967A0F">
        <w:t xml:space="preserve">may review this </w:t>
      </w:r>
      <w:r w:rsidR="00D76868" w:rsidRPr="00DD41AE">
        <w:rPr>
          <w:highlight w:val="lightGray"/>
        </w:rPr>
        <w:t>policy</w:t>
      </w:r>
      <w:r w:rsidR="00D76868">
        <w:rPr>
          <w:highlight w:val="lightGray"/>
        </w:rPr>
        <w:t>/procedure</w:t>
      </w:r>
      <w:r w:rsidRPr="00967A0F">
        <w:t xml:space="preserve"> annually for relevance and to ensure that its effectiveness is maintained.</w:t>
      </w:r>
    </w:p>
    <w:p w14:paraId="3A1DFECB" w14:textId="77777777" w:rsidR="00F620B6" w:rsidRPr="00967A0F" w:rsidRDefault="00F620B6" w:rsidP="00F620B6">
      <w:pPr>
        <w:pStyle w:val="Heading3"/>
      </w:pPr>
      <w:r w:rsidRPr="00967A0F">
        <w:t>Questions</w:t>
      </w:r>
    </w:p>
    <w:p w14:paraId="2BC47A21" w14:textId="71F27D53" w:rsidR="00F620B6" w:rsidRPr="003B368E" w:rsidRDefault="00F620B6" w:rsidP="00F620B6">
      <w:r w:rsidRPr="003B368E">
        <w:t xml:space="preserve">If a workplace participant is unsure about any matter covered by this </w:t>
      </w:r>
      <w:r w:rsidR="00D76868" w:rsidRPr="00DD41AE">
        <w:rPr>
          <w:highlight w:val="lightGray"/>
        </w:rPr>
        <w:t>policy</w:t>
      </w:r>
      <w:r w:rsidR="00D76868">
        <w:rPr>
          <w:highlight w:val="lightGray"/>
        </w:rPr>
        <w:t>/procedure</w:t>
      </w:r>
      <w:r w:rsidRPr="003B368E">
        <w:t xml:space="preserve">, they should seek the assistance of their </w:t>
      </w:r>
      <w:r w:rsidR="00601DAF" w:rsidRPr="003B368E">
        <w:t>Manager.</w:t>
      </w:r>
    </w:p>
    <w:p w14:paraId="2B8E094C" w14:textId="77777777" w:rsidR="00F620B6" w:rsidRPr="003B368E" w:rsidRDefault="00F620B6" w:rsidP="00F620B6">
      <w:pPr>
        <w:pStyle w:val="Heading3"/>
      </w:pPr>
      <w:r w:rsidRPr="003B368E">
        <w:t>Variations</w:t>
      </w:r>
    </w:p>
    <w:p w14:paraId="03078320" w14:textId="017640A4" w:rsidR="00F620B6" w:rsidRPr="003B368E" w:rsidRDefault="00F620B6" w:rsidP="00F620B6">
      <w:r w:rsidRPr="003B368E">
        <w:t xml:space="preserve">The Management </w:t>
      </w:r>
      <w:r w:rsidR="00C44C7C" w:rsidRPr="003B368E">
        <w:t>t</w:t>
      </w:r>
      <w:r w:rsidRPr="003B368E">
        <w:t xml:space="preserve">eam reserves the right to vary, replace or terminate this </w:t>
      </w:r>
      <w:r w:rsidR="00D76868" w:rsidRPr="00DD41AE">
        <w:rPr>
          <w:highlight w:val="lightGray"/>
        </w:rPr>
        <w:t>policy</w:t>
      </w:r>
      <w:r w:rsidR="00D76868">
        <w:rPr>
          <w:highlight w:val="lightGray"/>
        </w:rPr>
        <w:t>/procedure</w:t>
      </w:r>
      <w:r w:rsidRPr="003B368E">
        <w:t xml:space="preserve"> from time to time.</w:t>
      </w:r>
    </w:p>
    <w:p w14:paraId="523E2649" w14:textId="34640870" w:rsidR="00F620B6" w:rsidRPr="003B368E" w:rsidRDefault="00F620B6" w:rsidP="00F620B6">
      <w:r w:rsidRPr="003B368E">
        <w:t xml:space="preserve">This </w:t>
      </w:r>
      <w:r w:rsidR="00D76868" w:rsidRPr="00DD41AE">
        <w:rPr>
          <w:highlight w:val="lightGray"/>
        </w:rPr>
        <w:t>policy</w:t>
      </w:r>
      <w:r w:rsidR="00D76868">
        <w:rPr>
          <w:highlight w:val="lightGray"/>
        </w:rPr>
        <w:t>/procedure</w:t>
      </w:r>
      <w:r w:rsidRPr="003B368E">
        <w:t xml:space="preserve"> is to remain in force until it is changed.</w:t>
      </w:r>
    </w:p>
    <w:p w14:paraId="354F9930" w14:textId="5A3E0797" w:rsidR="00F620B6" w:rsidRPr="003B368E" w:rsidRDefault="00F620B6" w:rsidP="00F620B6">
      <w:pPr>
        <w:pStyle w:val="Heading3"/>
        <w:rPr>
          <w:rFonts w:eastAsiaTheme="minorHAnsi"/>
          <w:color w:val="000000"/>
        </w:rPr>
      </w:pPr>
      <w:bookmarkStart w:id="5" w:name="14de6a53fe36639c_14d88d139d8596ed__GoBac"/>
      <w:bookmarkEnd w:id="5"/>
      <w:r w:rsidRPr="003B368E">
        <w:t xml:space="preserve">Version and Revision Information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31"/>
        <w:gridCol w:w="2685"/>
      </w:tblGrid>
      <w:tr w:rsidR="00F620B6" w:rsidRPr="003B368E" w14:paraId="438A251E" w14:textId="77777777" w:rsidTr="00AA32B7">
        <w:trPr>
          <w:trHeight w:val="1223"/>
        </w:trPr>
        <w:tc>
          <w:tcPr>
            <w:tcW w:w="3511" w:type="pct"/>
            <w:tcMar>
              <w:top w:w="0" w:type="dxa"/>
              <w:left w:w="108" w:type="dxa"/>
              <w:bottom w:w="0" w:type="dxa"/>
              <w:right w:w="108" w:type="dxa"/>
            </w:tcMar>
            <w:hideMark/>
          </w:tcPr>
          <w:p w14:paraId="49B488AD" w14:textId="50AC4FE8" w:rsidR="00F620B6" w:rsidRPr="003B368E" w:rsidRDefault="00F620B6" w:rsidP="006E2F6C">
            <w:r w:rsidRPr="003B368E">
              <w:rPr>
                <w:b/>
              </w:rPr>
              <w:t>Authorised by:</w:t>
            </w:r>
            <w:r w:rsidRPr="003B368E">
              <w:t xml:space="preserve"> </w:t>
            </w:r>
            <w:r w:rsidR="002E4116" w:rsidRPr="00C53E11">
              <w:rPr>
                <w:highlight w:val="lightGray"/>
              </w:rPr>
              <w:t xml:space="preserve">[the position responsible for authorising this </w:t>
            </w:r>
            <w:r w:rsidR="00D76868" w:rsidRPr="00DD41AE">
              <w:rPr>
                <w:highlight w:val="lightGray"/>
              </w:rPr>
              <w:t>policy</w:t>
            </w:r>
            <w:r w:rsidR="00D76868">
              <w:rPr>
                <w:highlight w:val="lightGray"/>
              </w:rPr>
              <w:t>/procedure</w:t>
            </w:r>
            <w:r w:rsidR="002E4116" w:rsidRPr="00C53E11">
              <w:rPr>
                <w:highlight w:val="lightGray"/>
              </w:rPr>
              <w:t>]</w:t>
            </w:r>
            <w:r w:rsidR="00880F52">
              <w:t xml:space="preserve"> </w:t>
            </w:r>
          </w:p>
          <w:p w14:paraId="2DEC1E34" w14:textId="6F1FAA7F" w:rsidR="00F620B6" w:rsidRPr="003B368E" w:rsidRDefault="00AA32B7" w:rsidP="00AA32B7">
            <w:r w:rsidRPr="003B368E">
              <w:t xml:space="preserve">Policy and </w:t>
            </w:r>
            <w:r w:rsidR="00F620B6" w:rsidRPr="003B368E">
              <w:t>Procedure</w:t>
            </w:r>
            <w:r w:rsidRPr="003B368E">
              <w:t>s</w:t>
            </w:r>
            <w:r w:rsidR="00F620B6" w:rsidRPr="003B368E">
              <w:t xml:space="preserve"> maintained by</w:t>
            </w:r>
            <w:r w:rsidR="00F620B6" w:rsidRPr="003B368E">
              <w:rPr>
                <w:b/>
              </w:rPr>
              <w:t xml:space="preserve">: </w:t>
            </w:r>
            <w:r w:rsidR="002E4116" w:rsidRPr="00C53E11">
              <w:rPr>
                <w:highlight w:val="lightGray"/>
              </w:rPr>
              <w:t>[the position responsible for maintaining this</w:t>
            </w:r>
            <w:r w:rsidR="00D76868" w:rsidRPr="00DD41AE">
              <w:rPr>
                <w:highlight w:val="lightGray"/>
              </w:rPr>
              <w:t xml:space="preserve"> policy</w:t>
            </w:r>
            <w:r w:rsidR="00D76868">
              <w:rPr>
                <w:highlight w:val="lightGray"/>
              </w:rPr>
              <w:t>/procedure</w:t>
            </w:r>
            <w:r w:rsidR="002E4116" w:rsidRPr="00C53E11">
              <w:rPr>
                <w:highlight w:val="lightGray"/>
              </w:rPr>
              <w:t>]</w:t>
            </w:r>
          </w:p>
        </w:tc>
        <w:tc>
          <w:tcPr>
            <w:tcW w:w="1489" w:type="pct"/>
            <w:tcMar>
              <w:top w:w="0" w:type="dxa"/>
              <w:left w:w="108" w:type="dxa"/>
              <w:bottom w:w="0" w:type="dxa"/>
              <w:right w:w="108" w:type="dxa"/>
            </w:tcMar>
            <w:hideMark/>
          </w:tcPr>
          <w:p w14:paraId="564F840F" w14:textId="7349BFBB" w:rsidR="00F620B6" w:rsidRPr="003B368E" w:rsidRDefault="00F620B6" w:rsidP="000E3AD0">
            <w:r w:rsidRPr="002E4116">
              <w:rPr>
                <w:b/>
                <w:highlight w:val="lightGray"/>
              </w:rPr>
              <w:t>Original version</w:t>
            </w:r>
            <w:r w:rsidRPr="002E4116">
              <w:rPr>
                <w:highlight w:val="lightGray"/>
              </w:rPr>
              <w:t xml:space="preserve"> #1: [</w:t>
            </w:r>
            <w:r w:rsidR="00997A9D">
              <w:rPr>
                <w:highlight w:val="lightGray"/>
              </w:rPr>
              <w:t>DATE</w:t>
            </w:r>
            <w:r w:rsidRPr="002E4116">
              <w:rPr>
                <w:highlight w:val="lightGray"/>
              </w:rPr>
              <w:t>]</w:t>
            </w:r>
          </w:p>
        </w:tc>
      </w:tr>
      <w:tr w:rsidR="00F620B6" w14:paraId="070AEE87" w14:textId="77777777" w:rsidTr="006E2F6C">
        <w:tc>
          <w:tcPr>
            <w:tcW w:w="3511" w:type="pct"/>
            <w:tcMar>
              <w:top w:w="0" w:type="dxa"/>
              <w:left w:w="108" w:type="dxa"/>
              <w:bottom w:w="0" w:type="dxa"/>
              <w:right w:w="108" w:type="dxa"/>
            </w:tcMar>
            <w:hideMark/>
          </w:tcPr>
          <w:p w14:paraId="25BEB86E" w14:textId="2B4E7452" w:rsidR="00F620B6" w:rsidRPr="003B368E" w:rsidRDefault="00F620B6" w:rsidP="00AA32B7">
            <w:r w:rsidRPr="003B368E">
              <w:rPr>
                <w:b/>
              </w:rPr>
              <w:t>Review date:</w:t>
            </w:r>
            <w:r w:rsidRPr="003B368E">
              <w:t xml:space="preserve"> </w:t>
            </w:r>
            <w:r w:rsidR="002E4116" w:rsidRPr="00DD41AE">
              <w:rPr>
                <w:highlight w:val="lightGray"/>
              </w:rPr>
              <w:t xml:space="preserve">[date this </w:t>
            </w:r>
            <w:r w:rsidR="00D76868" w:rsidRPr="00DD41AE">
              <w:rPr>
                <w:highlight w:val="lightGray"/>
              </w:rPr>
              <w:t>policy</w:t>
            </w:r>
            <w:r w:rsidR="00D76868">
              <w:rPr>
                <w:highlight w:val="lightGray"/>
              </w:rPr>
              <w:t>/procedure</w:t>
            </w:r>
            <w:r w:rsidR="002E4116" w:rsidRPr="00DD41AE">
              <w:rPr>
                <w:highlight w:val="lightGray"/>
              </w:rPr>
              <w:t xml:space="preserve"> should be reviewed]</w:t>
            </w:r>
          </w:p>
        </w:tc>
        <w:tc>
          <w:tcPr>
            <w:tcW w:w="1489" w:type="pct"/>
            <w:shd w:val="clear" w:color="auto" w:fill="D9D9D9" w:themeFill="background1" w:themeFillShade="D9"/>
            <w:tcMar>
              <w:top w:w="0" w:type="dxa"/>
              <w:left w:w="108" w:type="dxa"/>
              <w:bottom w:w="0" w:type="dxa"/>
              <w:right w:w="108" w:type="dxa"/>
            </w:tcMar>
            <w:hideMark/>
          </w:tcPr>
          <w:p w14:paraId="20B62735" w14:textId="1EB93DEE" w:rsidR="00F620B6" w:rsidRDefault="00F620B6" w:rsidP="006E2F6C">
            <w:r w:rsidRPr="003B368E">
              <w:t>This version: [</w:t>
            </w:r>
            <w:r w:rsidR="00AA32B7" w:rsidRPr="003B368E">
              <w:t>#1</w:t>
            </w:r>
            <w:r w:rsidRPr="003B368E">
              <w:t>]</w:t>
            </w:r>
          </w:p>
        </w:tc>
      </w:tr>
      <w:bookmarkEnd w:id="0"/>
      <w:bookmarkEnd w:id="1"/>
    </w:tbl>
    <w:p w14:paraId="5F2EFADB" w14:textId="77777777" w:rsidR="005C3562" w:rsidRDefault="005C3562" w:rsidP="00F620B6">
      <w:pPr>
        <w:pStyle w:val="Heading3"/>
      </w:pPr>
    </w:p>
    <w:sectPr w:rsidR="005C3562" w:rsidSect="000E3AD0">
      <w:headerReference w:type="default" r:id="rId10"/>
      <w:footerReference w:type="default" r:id="rId11"/>
      <w:footerReference w:type="first" r:id="rId12"/>
      <w:pgSz w:w="11906" w:h="16838"/>
      <w:pgMar w:top="1418" w:right="1440" w:bottom="1095" w:left="1440" w:header="771"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2B77" w14:textId="77777777" w:rsidR="00511FB0" w:rsidRDefault="00511FB0" w:rsidP="0095248D">
      <w:pPr>
        <w:spacing w:before="0" w:after="0" w:line="240" w:lineRule="auto"/>
      </w:pPr>
      <w:r>
        <w:separator/>
      </w:r>
    </w:p>
  </w:endnote>
  <w:endnote w:type="continuationSeparator" w:id="0">
    <w:p w14:paraId="184D94AB" w14:textId="77777777" w:rsidR="00511FB0" w:rsidRDefault="00511FB0" w:rsidP="009524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070590"/>
      <w:docPartObj>
        <w:docPartGallery w:val="Page Numbers (Bottom of Page)"/>
        <w:docPartUnique/>
      </w:docPartObj>
    </w:sdtPr>
    <w:sdtEndPr/>
    <w:sdtContent>
      <w:p w14:paraId="00B745B7" w14:textId="2FA9898F" w:rsidR="000E43A6" w:rsidRDefault="000E3AD0" w:rsidP="00E91BC6">
        <w:pPr>
          <w:pStyle w:val="Footer"/>
          <w:tabs>
            <w:tab w:val="clear" w:pos="4513"/>
          </w:tabs>
        </w:pPr>
        <w:r>
          <w:t>Choice and Dignity of Risk</w:t>
        </w:r>
        <w:r w:rsidR="002E4116">
          <w:t>_V</w:t>
        </w:r>
        <w:r w:rsidR="00751403">
          <w:t>2</w:t>
        </w:r>
        <w:r w:rsidR="002E4116">
          <w:t>_</w:t>
        </w:r>
        <w:r w:rsidR="00997A9D">
          <w:t>Jan 2020</w:t>
        </w:r>
        <w:r w:rsidR="00A40C00" w:rsidRPr="003B368E">
          <w:tab/>
        </w:r>
        <w:r w:rsidR="00755751" w:rsidRPr="003B368E">
          <w:fldChar w:fldCharType="begin"/>
        </w:r>
        <w:r w:rsidR="00374B96" w:rsidRPr="003B368E">
          <w:instrText xml:space="preserve"> PAGE   \* MERGEFORMAT </w:instrText>
        </w:r>
        <w:r w:rsidR="00755751" w:rsidRPr="003B368E">
          <w:fldChar w:fldCharType="separate"/>
        </w:r>
        <w:r w:rsidR="00D76868">
          <w:rPr>
            <w:noProof/>
          </w:rPr>
          <w:t>4</w:t>
        </w:r>
        <w:r w:rsidR="00755751" w:rsidRPr="003B368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39489625"/>
      <w:docPartObj>
        <w:docPartGallery w:val="Page Numbers (Bottom of Page)"/>
        <w:docPartUnique/>
      </w:docPartObj>
    </w:sdtPr>
    <w:sdtEndPr/>
    <w:sdtContent>
      <w:p w14:paraId="296D9D62" w14:textId="49609243" w:rsidR="00C57461" w:rsidRPr="00166F71" w:rsidRDefault="00166F71" w:rsidP="00166F71">
        <w:pPr>
          <w:pStyle w:val="Footer"/>
          <w:tabs>
            <w:tab w:val="clear" w:pos="4513"/>
          </w:tabs>
        </w:pPr>
        <w:r w:rsidRPr="00166F71">
          <w:rPr>
            <w:highlight w:val="green"/>
          </w:rPr>
          <w:t>KASC Aged / Disability Care - Consumer Choice and Dignity of Risk February 2019</w:t>
        </w:r>
        <w:r w:rsidRPr="00166F71">
          <w:rPr>
            <w:highlight w:val="green"/>
          </w:rPr>
          <w:tab/>
        </w:r>
        <w:r w:rsidRPr="00166F71">
          <w:rPr>
            <w:highlight w:val="green"/>
          </w:rPr>
          <w:fldChar w:fldCharType="begin"/>
        </w:r>
        <w:r w:rsidRPr="00166F71">
          <w:rPr>
            <w:highlight w:val="green"/>
          </w:rPr>
          <w:instrText xml:space="preserve"> PAGE   \* MERGEFORMAT </w:instrText>
        </w:r>
        <w:r w:rsidRPr="00166F71">
          <w:rPr>
            <w:highlight w:val="green"/>
          </w:rPr>
          <w:fldChar w:fldCharType="separate"/>
        </w:r>
        <w:r w:rsidR="003B368E">
          <w:rPr>
            <w:noProof/>
            <w:highlight w:val="green"/>
          </w:rPr>
          <w:t>1</w:t>
        </w:r>
        <w:r w:rsidRPr="00166F71">
          <w:rPr>
            <w:noProof/>
            <w:highlight w:val="gre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0AAC" w14:textId="77777777" w:rsidR="00511FB0" w:rsidRDefault="00511FB0" w:rsidP="0095248D">
      <w:pPr>
        <w:spacing w:before="0" w:after="0" w:line="240" w:lineRule="auto"/>
      </w:pPr>
      <w:r>
        <w:separator/>
      </w:r>
    </w:p>
  </w:footnote>
  <w:footnote w:type="continuationSeparator" w:id="0">
    <w:p w14:paraId="5B290B32" w14:textId="77777777" w:rsidR="00511FB0" w:rsidRDefault="00511FB0" w:rsidP="009524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703" w14:textId="2E1B3958" w:rsidR="000E43A6" w:rsidRDefault="000E43A6" w:rsidP="009524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A2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64A8778"/>
    <w:lvl w:ilvl="0">
      <w:start w:val="1"/>
      <w:numFmt w:val="decimal"/>
      <w:lvlText w:val="%1."/>
      <w:lvlJc w:val="left"/>
      <w:pPr>
        <w:tabs>
          <w:tab w:val="num" w:pos="360"/>
        </w:tabs>
        <w:ind w:left="360" w:hanging="360"/>
      </w:pPr>
    </w:lvl>
  </w:abstractNum>
  <w:abstractNum w:abstractNumId="2" w15:restartNumberingAfterBreak="0">
    <w:nsid w:val="2552038F"/>
    <w:multiLevelType w:val="hybridMultilevel"/>
    <w:tmpl w:val="BDF87EBA"/>
    <w:lvl w:ilvl="0" w:tplc="0E2C258C">
      <w:start w:val="1"/>
      <w:numFmt w:val="bullet"/>
      <w:pStyle w:val="Bullets"/>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F39B3"/>
    <w:multiLevelType w:val="hybridMultilevel"/>
    <w:tmpl w:val="5B9CE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5671E06"/>
    <w:multiLevelType w:val="hybridMultilevel"/>
    <w:tmpl w:val="EDD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10BDB"/>
    <w:multiLevelType w:val="hybridMultilevel"/>
    <w:tmpl w:val="0560980C"/>
    <w:lvl w:ilvl="0" w:tplc="4B545C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D46214"/>
    <w:multiLevelType w:val="multilevel"/>
    <w:tmpl w:val="C902F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A11E6A"/>
    <w:multiLevelType w:val="multilevel"/>
    <w:tmpl w:val="1B38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86C1D"/>
    <w:multiLevelType w:val="hybridMultilevel"/>
    <w:tmpl w:val="D63E8742"/>
    <w:lvl w:ilvl="0" w:tplc="0B369A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07722"/>
    <w:multiLevelType w:val="hybridMultilevel"/>
    <w:tmpl w:val="6BA2C528"/>
    <w:lvl w:ilvl="0" w:tplc="AA1A53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F3"/>
    <w:rsid w:val="00013A17"/>
    <w:rsid w:val="0001577A"/>
    <w:rsid w:val="0002005F"/>
    <w:rsid w:val="00070873"/>
    <w:rsid w:val="00094979"/>
    <w:rsid w:val="000C52DB"/>
    <w:rsid w:val="000C575B"/>
    <w:rsid w:val="000E0244"/>
    <w:rsid w:val="000E085D"/>
    <w:rsid w:val="000E191A"/>
    <w:rsid w:val="000E3AD0"/>
    <w:rsid w:val="000E43A6"/>
    <w:rsid w:val="000F3594"/>
    <w:rsid w:val="000F504F"/>
    <w:rsid w:val="0010186B"/>
    <w:rsid w:val="00101DEB"/>
    <w:rsid w:val="00126C4F"/>
    <w:rsid w:val="001325EF"/>
    <w:rsid w:val="00136FAD"/>
    <w:rsid w:val="0014655F"/>
    <w:rsid w:val="0016007C"/>
    <w:rsid w:val="00163E78"/>
    <w:rsid w:val="00166F71"/>
    <w:rsid w:val="00172853"/>
    <w:rsid w:val="001A0786"/>
    <w:rsid w:val="001A112C"/>
    <w:rsid w:val="001C1DE2"/>
    <w:rsid w:val="001C2B77"/>
    <w:rsid w:val="001C7069"/>
    <w:rsid w:val="001F6598"/>
    <w:rsid w:val="00203D4A"/>
    <w:rsid w:val="0024064A"/>
    <w:rsid w:val="0024275E"/>
    <w:rsid w:val="002638D4"/>
    <w:rsid w:val="002E4116"/>
    <w:rsid w:val="002F5C03"/>
    <w:rsid w:val="003548E1"/>
    <w:rsid w:val="003733A1"/>
    <w:rsid w:val="003735A2"/>
    <w:rsid w:val="00374B96"/>
    <w:rsid w:val="0037772E"/>
    <w:rsid w:val="00386502"/>
    <w:rsid w:val="00391BF3"/>
    <w:rsid w:val="003A2991"/>
    <w:rsid w:val="003B368E"/>
    <w:rsid w:val="003D47D6"/>
    <w:rsid w:val="003D49A8"/>
    <w:rsid w:val="003E6E9F"/>
    <w:rsid w:val="003F09AB"/>
    <w:rsid w:val="003F5F6B"/>
    <w:rsid w:val="0040389B"/>
    <w:rsid w:val="00414304"/>
    <w:rsid w:val="004148EA"/>
    <w:rsid w:val="00423F66"/>
    <w:rsid w:val="00424B6B"/>
    <w:rsid w:val="004528F3"/>
    <w:rsid w:val="00456ADA"/>
    <w:rsid w:val="00462264"/>
    <w:rsid w:val="00464401"/>
    <w:rsid w:val="004944A8"/>
    <w:rsid w:val="004B79C2"/>
    <w:rsid w:val="004D1941"/>
    <w:rsid w:val="004D76F6"/>
    <w:rsid w:val="00511FB0"/>
    <w:rsid w:val="005148C3"/>
    <w:rsid w:val="0053163B"/>
    <w:rsid w:val="00541BD7"/>
    <w:rsid w:val="00544904"/>
    <w:rsid w:val="00545A13"/>
    <w:rsid w:val="005675CB"/>
    <w:rsid w:val="00567FB1"/>
    <w:rsid w:val="00593D34"/>
    <w:rsid w:val="00593E9D"/>
    <w:rsid w:val="00595EEA"/>
    <w:rsid w:val="005A5B57"/>
    <w:rsid w:val="005A7826"/>
    <w:rsid w:val="005A7FD2"/>
    <w:rsid w:val="005B05C7"/>
    <w:rsid w:val="005C3562"/>
    <w:rsid w:val="005F19B4"/>
    <w:rsid w:val="005F5992"/>
    <w:rsid w:val="00601DAF"/>
    <w:rsid w:val="00624CF9"/>
    <w:rsid w:val="006259C2"/>
    <w:rsid w:val="00633092"/>
    <w:rsid w:val="00666132"/>
    <w:rsid w:val="00675B0A"/>
    <w:rsid w:val="006817D8"/>
    <w:rsid w:val="006859E7"/>
    <w:rsid w:val="00687849"/>
    <w:rsid w:val="006A290B"/>
    <w:rsid w:val="006B2B4A"/>
    <w:rsid w:val="006B6691"/>
    <w:rsid w:val="006C5D71"/>
    <w:rsid w:val="006D3619"/>
    <w:rsid w:val="006E3920"/>
    <w:rsid w:val="006F700B"/>
    <w:rsid w:val="00703F87"/>
    <w:rsid w:val="00715CF2"/>
    <w:rsid w:val="0072175B"/>
    <w:rsid w:val="0072775D"/>
    <w:rsid w:val="00730A89"/>
    <w:rsid w:val="00735104"/>
    <w:rsid w:val="00751403"/>
    <w:rsid w:val="00753AA3"/>
    <w:rsid w:val="00755560"/>
    <w:rsid w:val="00755751"/>
    <w:rsid w:val="00760C42"/>
    <w:rsid w:val="007620D2"/>
    <w:rsid w:val="00766A46"/>
    <w:rsid w:val="007770A5"/>
    <w:rsid w:val="007B0CBA"/>
    <w:rsid w:val="007B2AA6"/>
    <w:rsid w:val="007C7A25"/>
    <w:rsid w:val="007D2C63"/>
    <w:rsid w:val="007E60CA"/>
    <w:rsid w:val="007E749B"/>
    <w:rsid w:val="007F6D56"/>
    <w:rsid w:val="00820918"/>
    <w:rsid w:val="008400A8"/>
    <w:rsid w:val="0084259C"/>
    <w:rsid w:val="00865681"/>
    <w:rsid w:val="008661BF"/>
    <w:rsid w:val="00872147"/>
    <w:rsid w:val="00880F52"/>
    <w:rsid w:val="00881879"/>
    <w:rsid w:val="009008A4"/>
    <w:rsid w:val="00900A95"/>
    <w:rsid w:val="00913285"/>
    <w:rsid w:val="009134DB"/>
    <w:rsid w:val="00914973"/>
    <w:rsid w:val="009154DF"/>
    <w:rsid w:val="00917FA3"/>
    <w:rsid w:val="00923F62"/>
    <w:rsid w:val="00931F5C"/>
    <w:rsid w:val="00933A89"/>
    <w:rsid w:val="00941D3F"/>
    <w:rsid w:val="0095248D"/>
    <w:rsid w:val="00967A0F"/>
    <w:rsid w:val="00971E18"/>
    <w:rsid w:val="009856C0"/>
    <w:rsid w:val="00997A9D"/>
    <w:rsid w:val="009C50B8"/>
    <w:rsid w:val="009E14A4"/>
    <w:rsid w:val="009E608D"/>
    <w:rsid w:val="009E6581"/>
    <w:rsid w:val="009E7F64"/>
    <w:rsid w:val="00A10E3E"/>
    <w:rsid w:val="00A25653"/>
    <w:rsid w:val="00A308F6"/>
    <w:rsid w:val="00A37DEE"/>
    <w:rsid w:val="00A40C00"/>
    <w:rsid w:val="00A47BED"/>
    <w:rsid w:val="00A60CFC"/>
    <w:rsid w:val="00A812CE"/>
    <w:rsid w:val="00A81F80"/>
    <w:rsid w:val="00A84315"/>
    <w:rsid w:val="00A859EE"/>
    <w:rsid w:val="00A92CFB"/>
    <w:rsid w:val="00AA32B7"/>
    <w:rsid w:val="00AD6D4D"/>
    <w:rsid w:val="00AD789A"/>
    <w:rsid w:val="00AE2D58"/>
    <w:rsid w:val="00AE4F16"/>
    <w:rsid w:val="00AE5D21"/>
    <w:rsid w:val="00B128ED"/>
    <w:rsid w:val="00B336D2"/>
    <w:rsid w:val="00B35004"/>
    <w:rsid w:val="00B36FAB"/>
    <w:rsid w:val="00B50FE0"/>
    <w:rsid w:val="00B5589C"/>
    <w:rsid w:val="00B57FE2"/>
    <w:rsid w:val="00B627B9"/>
    <w:rsid w:val="00B637C8"/>
    <w:rsid w:val="00B76A7A"/>
    <w:rsid w:val="00B825C0"/>
    <w:rsid w:val="00BC1286"/>
    <w:rsid w:val="00BD46B4"/>
    <w:rsid w:val="00BE38D8"/>
    <w:rsid w:val="00BE5C62"/>
    <w:rsid w:val="00BF0C71"/>
    <w:rsid w:val="00BF203C"/>
    <w:rsid w:val="00C24FD7"/>
    <w:rsid w:val="00C44C7C"/>
    <w:rsid w:val="00C46EA9"/>
    <w:rsid w:val="00C53ABD"/>
    <w:rsid w:val="00C57461"/>
    <w:rsid w:val="00C60E7E"/>
    <w:rsid w:val="00C710B3"/>
    <w:rsid w:val="00C77A9C"/>
    <w:rsid w:val="00C85AA4"/>
    <w:rsid w:val="00C96E30"/>
    <w:rsid w:val="00CB2957"/>
    <w:rsid w:val="00CB7546"/>
    <w:rsid w:val="00CB78DC"/>
    <w:rsid w:val="00CC0AF2"/>
    <w:rsid w:val="00CD029E"/>
    <w:rsid w:val="00CD420B"/>
    <w:rsid w:val="00D04107"/>
    <w:rsid w:val="00D50C27"/>
    <w:rsid w:val="00D52273"/>
    <w:rsid w:val="00D574D4"/>
    <w:rsid w:val="00D60B1D"/>
    <w:rsid w:val="00D622D7"/>
    <w:rsid w:val="00D71756"/>
    <w:rsid w:val="00D76868"/>
    <w:rsid w:val="00D861A8"/>
    <w:rsid w:val="00D930CA"/>
    <w:rsid w:val="00DC1621"/>
    <w:rsid w:val="00DC3D7C"/>
    <w:rsid w:val="00DD4AF2"/>
    <w:rsid w:val="00DE5359"/>
    <w:rsid w:val="00DF7408"/>
    <w:rsid w:val="00E3107D"/>
    <w:rsid w:val="00E33A79"/>
    <w:rsid w:val="00E37A6D"/>
    <w:rsid w:val="00E50BF5"/>
    <w:rsid w:val="00E712B0"/>
    <w:rsid w:val="00E91BC6"/>
    <w:rsid w:val="00EA49D5"/>
    <w:rsid w:val="00EB26CD"/>
    <w:rsid w:val="00F153AA"/>
    <w:rsid w:val="00F50187"/>
    <w:rsid w:val="00F55E46"/>
    <w:rsid w:val="00F620B6"/>
    <w:rsid w:val="00F64F8B"/>
    <w:rsid w:val="00F67EB6"/>
    <w:rsid w:val="00F770ED"/>
    <w:rsid w:val="00F92017"/>
    <w:rsid w:val="00F97DBC"/>
    <w:rsid w:val="00FA23BE"/>
    <w:rsid w:val="00FB2328"/>
    <w:rsid w:val="00FB346E"/>
    <w:rsid w:val="00FD732A"/>
    <w:rsid w:val="00FF0008"/>
    <w:rsid w:val="00FF6C6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C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70873"/>
    <w:pPr>
      <w:spacing w:before="120" w:after="120" w:line="280" w:lineRule="atLeast"/>
    </w:pPr>
    <w:rPr>
      <w:rFonts w:ascii="Arial" w:eastAsia="Times New Roman" w:hAnsi="Arial" w:cs="Times New Roman"/>
      <w:szCs w:val="24"/>
    </w:rPr>
  </w:style>
  <w:style w:type="paragraph" w:styleId="Heading2">
    <w:name w:val="heading 2"/>
    <w:aliases w:val="subclause"/>
    <w:basedOn w:val="Normal"/>
    <w:next w:val="Normal"/>
    <w:link w:val="Heading2Char"/>
    <w:autoRedefine/>
    <w:qFormat/>
    <w:rsid w:val="00C44C7C"/>
    <w:pPr>
      <w:keepNext/>
      <w:pageBreakBefore/>
      <w:pBdr>
        <w:bottom w:val="single" w:sz="4" w:space="1" w:color="auto"/>
      </w:pBdr>
      <w:shd w:val="clear" w:color="auto" w:fill="F2F2F2" w:themeFill="background1" w:themeFillShade="F2"/>
      <w:spacing w:before="0" w:after="240" w:line="240" w:lineRule="auto"/>
      <w:outlineLvl w:val="1"/>
    </w:pPr>
    <w:rPr>
      <w:rFonts w:cs="Arial"/>
      <w:bCs/>
      <w:iCs/>
      <w:noProof/>
      <w:color w:val="000000" w:themeColor="text1"/>
      <w:sz w:val="40"/>
      <w:szCs w:val="28"/>
    </w:rPr>
  </w:style>
  <w:style w:type="paragraph" w:styleId="Heading3">
    <w:name w:val="heading 3"/>
    <w:aliases w:val="Heading 3 Char Char Char Char,Heading 31,Heading 3 Char Char Char1"/>
    <w:basedOn w:val="Normal"/>
    <w:next w:val="Normal"/>
    <w:link w:val="Heading3Char"/>
    <w:autoRedefine/>
    <w:qFormat/>
    <w:rsid w:val="003B368E"/>
    <w:pPr>
      <w:keepLines/>
      <w:spacing w:before="240" w:after="240" w:line="240" w:lineRule="auto"/>
      <w:outlineLvl w:val="2"/>
    </w:pPr>
    <w:rPr>
      <w:rFonts w:cstheme="minorBidi"/>
      <w:bCs/>
      <w:noProof/>
      <w:color w:val="000000" w:themeColor="text1"/>
      <w:sz w:val="28"/>
      <w:szCs w:val="20"/>
      <w:lang w:val="en-US"/>
    </w:rPr>
  </w:style>
  <w:style w:type="paragraph" w:styleId="Heading4">
    <w:name w:val="heading 4"/>
    <w:aliases w:val="Heading 4 Char Char"/>
    <w:basedOn w:val="Normal"/>
    <w:next w:val="Normal"/>
    <w:link w:val="Heading4Char"/>
    <w:autoRedefine/>
    <w:qFormat/>
    <w:rsid w:val="00AE4F16"/>
    <w:pPr>
      <w:keepNext/>
      <w:spacing w:before="240" w:line="240" w:lineRule="auto"/>
      <w:outlineLvl w:val="3"/>
    </w:pPr>
    <w:rPr>
      <w:rFonts w:cstheme="minorBidi"/>
      <w:b/>
      <w:color w:val="000000" w:themeColor="text1"/>
      <w:sz w:val="24"/>
      <w:lang w:val="en-US"/>
    </w:rPr>
  </w:style>
  <w:style w:type="paragraph" w:styleId="Heading5">
    <w:name w:val="heading 5"/>
    <w:basedOn w:val="Normal"/>
    <w:next w:val="Normal"/>
    <w:link w:val="Heading5Char"/>
    <w:autoRedefine/>
    <w:qFormat/>
    <w:rsid w:val="00E50BF5"/>
    <w:pPr>
      <w:keepNext/>
      <w:spacing w:before="240" w:line="240" w:lineRule="auto"/>
      <w:outlineLvl w:val="4"/>
    </w:pPr>
    <w:rPr>
      <w:rFonts w:cs="Arial"/>
      <w:b/>
      <w:iCs/>
      <w:noProof/>
      <w:szCs w:val="26"/>
      <w:lang w:eastAsia="en-AU"/>
    </w:rPr>
  </w:style>
  <w:style w:type="paragraph" w:styleId="Heading7">
    <w:name w:val="heading 7"/>
    <w:basedOn w:val="Normal"/>
    <w:next w:val="Normal"/>
    <w:link w:val="Heading7Char"/>
    <w:uiPriority w:val="9"/>
    <w:unhideWhenUsed/>
    <w:qFormat/>
    <w:rsid w:val="00E50BF5"/>
    <w:pPr>
      <w:keepNext/>
      <w:keepLines/>
      <w:spacing w:before="200" w:after="0" w:line="276" w:lineRule="auto"/>
      <w:outlineLvl w:val="6"/>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clause Char"/>
    <w:basedOn w:val="DefaultParagraphFont"/>
    <w:link w:val="Heading2"/>
    <w:rsid w:val="00C44C7C"/>
    <w:rPr>
      <w:rFonts w:ascii="Arial" w:eastAsia="Times New Roman" w:hAnsi="Arial" w:cs="Arial"/>
      <w:bCs/>
      <w:iCs/>
      <w:noProof/>
      <w:color w:val="000000" w:themeColor="text1"/>
      <w:sz w:val="40"/>
      <w:szCs w:val="28"/>
      <w:shd w:val="clear" w:color="auto" w:fill="F2F2F2" w:themeFill="background1" w:themeFillShade="F2"/>
    </w:rPr>
  </w:style>
  <w:style w:type="character" w:customStyle="1" w:styleId="Heading3Char">
    <w:name w:val="Heading 3 Char"/>
    <w:aliases w:val="Heading 3 Char Char Char Char Char,Heading 31 Char,Heading 3 Char Char Char1 Char"/>
    <w:basedOn w:val="DefaultParagraphFont"/>
    <w:link w:val="Heading3"/>
    <w:rsid w:val="003B368E"/>
    <w:rPr>
      <w:rFonts w:ascii="Arial" w:eastAsia="Times New Roman" w:hAnsi="Arial"/>
      <w:bCs/>
      <w:noProof/>
      <w:color w:val="000000" w:themeColor="text1"/>
      <w:sz w:val="28"/>
      <w:szCs w:val="20"/>
      <w:lang w:val="en-US"/>
    </w:rPr>
  </w:style>
  <w:style w:type="character" w:customStyle="1" w:styleId="Heading4Char">
    <w:name w:val="Heading 4 Char"/>
    <w:aliases w:val="Heading 4 Char Char Char"/>
    <w:basedOn w:val="DefaultParagraphFont"/>
    <w:link w:val="Heading4"/>
    <w:rsid w:val="00AE4F16"/>
    <w:rPr>
      <w:rFonts w:ascii="Arial" w:eastAsia="Times New Roman" w:hAnsi="Arial"/>
      <w:b/>
      <w:color w:val="000000" w:themeColor="text1"/>
      <w:sz w:val="24"/>
      <w:szCs w:val="24"/>
      <w:lang w:val="en-US"/>
    </w:rPr>
  </w:style>
  <w:style w:type="character" w:customStyle="1" w:styleId="Heading5Char">
    <w:name w:val="Heading 5 Char"/>
    <w:basedOn w:val="DefaultParagraphFont"/>
    <w:link w:val="Heading5"/>
    <w:rsid w:val="00E50BF5"/>
    <w:rPr>
      <w:rFonts w:ascii="Arial" w:eastAsia="Times New Roman" w:hAnsi="Arial" w:cs="Arial"/>
      <w:b/>
      <w:iCs/>
      <w:noProof/>
      <w:szCs w:val="26"/>
      <w:lang w:eastAsia="en-AU"/>
    </w:rPr>
  </w:style>
  <w:style w:type="character" w:styleId="Hyperlink">
    <w:name w:val="Hyperlink"/>
    <w:basedOn w:val="DefaultParagraphFont"/>
    <w:uiPriority w:val="99"/>
    <w:rsid w:val="00391BF3"/>
    <w:rPr>
      <w:color w:val="0000FF"/>
      <w:u w:val="single"/>
    </w:rPr>
  </w:style>
  <w:style w:type="paragraph" w:customStyle="1" w:styleId="Bullets">
    <w:name w:val="Bullets"/>
    <w:basedOn w:val="Normal"/>
    <w:link w:val="BulletsChar"/>
    <w:autoRedefine/>
    <w:qFormat/>
    <w:rsid w:val="0040389B"/>
    <w:pPr>
      <w:numPr>
        <w:numId w:val="1"/>
      </w:numPr>
      <w:shd w:val="clear" w:color="auto" w:fill="FFFFFF" w:themeFill="background1"/>
      <w:spacing w:line="264" w:lineRule="auto"/>
      <w:ind w:left="714" w:hanging="357"/>
    </w:pPr>
  </w:style>
  <w:style w:type="character" w:customStyle="1" w:styleId="BulletsChar">
    <w:name w:val="Bullets Char"/>
    <w:basedOn w:val="DefaultParagraphFont"/>
    <w:link w:val="Bullets"/>
    <w:rsid w:val="0040389B"/>
    <w:rPr>
      <w:rFonts w:ascii="Arial" w:eastAsia="Times New Roman" w:hAnsi="Arial" w:cs="Times New Roman"/>
      <w:szCs w:val="24"/>
      <w:shd w:val="clear" w:color="auto" w:fill="FFFFFF" w:themeFill="background1"/>
    </w:rPr>
  </w:style>
  <w:style w:type="character" w:styleId="FollowedHyperlink">
    <w:name w:val="FollowedHyperlink"/>
    <w:basedOn w:val="DefaultParagraphFont"/>
    <w:uiPriority w:val="99"/>
    <w:semiHidden/>
    <w:unhideWhenUsed/>
    <w:rsid w:val="00B50FE0"/>
    <w:rPr>
      <w:color w:val="800080" w:themeColor="followedHyperlink"/>
      <w:u w:val="single"/>
    </w:rPr>
  </w:style>
  <w:style w:type="paragraph" w:styleId="Header">
    <w:name w:val="header"/>
    <w:basedOn w:val="Normal"/>
    <w:link w:val="HeaderChar"/>
    <w:uiPriority w:val="99"/>
    <w:unhideWhenUsed/>
    <w:rsid w:val="009524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248D"/>
    <w:rPr>
      <w:rFonts w:ascii="Arial" w:eastAsia="Times New Roman" w:hAnsi="Arial" w:cs="Times New Roman"/>
      <w:sz w:val="20"/>
      <w:szCs w:val="24"/>
    </w:rPr>
  </w:style>
  <w:style w:type="paragraph" w:styleId="Footer">
    <w:name w:val="footer"/>
    <w:basedOn w:val="Normal"/>
    <w:link w:val="FooterChar"/>
    <w:autoRedefine/>
    <w:uiPriority w:val="99"/>
    <w:unhideWhenUsed/>
    <w:rsid w:val="00070873"/>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070873"/>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524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8D"/>
    <w:rPr>
      <w:rFonts w:ascii="Tahoma" w:eastAsia="Times New Roman" w:hAnsi="Tahoma" w:cs="Tahoma"/>
      <w:sz w:val="16"/>
      <w:szCs w:val="16"/>
    </w:rPr>
  </w:style>
  <w:style w:type="table" w:styleId="TableGrid">
    <w:name w:val="Table Grid"/>
    <w:basedOn w:val="TableNormal"/>
    <w:uiPriority w:val="59"/>
    <w:rsid w:val="003735A2"/>
    <w:pPr>
      <w:spacing w:before="80" w:after="80" w:line="240" w:lineRule="auto"/>
    </w:pPr>
    <w:rPr>
      <w:rFonts w:ascii="Verdana" w:eastAsia="Times New Roman" w:hAnsi="Verdana"/>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735A2"/>
    <w:rPr>
      <w:rFonts w:asciiTheme="minorHAnsi" w:hAnsiTheme="minorHAnsi"/>
      <w:b/>
      <w:color w:val="auto"/>
      <w:sz w:val="18"/>
      <w:vertAlign w:val="superscript"/>
    </w:rPr>
  </w:style>
  <w:style w:type="character" w:customStyle="1" w:styleId="apple-converted-space">
    <w:name w:val="apple-converted-space"/>
    <w:basedOn w:val="DefaultParagraphFont"/>
    <w:rsid w:val="00BC1286"/>
  </w:style>
  <w:style w:type="paragraph" w:styleId="NormalWeb">
    <w:name w:val="Normal (Web)"/>
    <w:basedOn w:val="Normal"/>
    <w:uiPriority w:val="99"/>
    <w:rsid w:val="00BC1286"/>
    <w:pPr>
      <w:spacing w:beforeLines="1" w:afterLines="1" w:line="240" w:lineRule="auto"/>
    </w:pPr>
    <w:rPr>
      <w:rFonts w:ascii="Times" w:eastAsiaTheme="minorHAnsi" w:hAnsi="Times"/>
      <w:sz w:val="20"/>
      <w:szCs w:val="20"/>
    </w:rPr>
  </w:style>
  <w:style w:type="paragraph" w:styleId="ListParagraph">
    <w:name w:val="List Paragraph"/>
    <w:aliases w:val="List Paragraph1,List Paragraph11,Recommendation"/>
    <w:basedOn w:val="Normal"/>
    <w:link w:val="ListParagraphChar"/>
    <w:uiPriority w:val="34"/>
    <w:qFormat/>
    <w:rsid w:val="000E085D"/>
    <w:pPr>
      <w:numPr>
        <w:numId w:val="9"/>
      </w:numPr>
      <w:contextualSpacing/>
    </w:pPr>
  </w:style>
  <w:style w:type="character" w:styleId="PageNumber">
    <w:name w:val="page number"/>
    <w:basedOn w:val="DefaultParagraphFont"/>
    <w:semiHidden/>
    <w:unhideWhenUsed/>
    <w:rsid w:val="00070873"/>
  </w:style>
  <w:style w:type="character" w:customStyle="1" w:styleId="Heading7Char">
    <w:name w:val="Heading 7 Char"/>
    <w:basedOn w:val="DefaultParagraphFont"/>
    <w:link w:val="Heading7"/>
    <w:uiPriority w:val="9"/>
    <w:rsid w:val="00E50BF5"/>
    <w:rPr>
      <w:rFonts w:asciiTheme="majorHAnsi" w:eastAsiaTheme="majorEastAsia" w:hAnsiTheme="majorHAnsi" w:cstheme="majorBidi"/>
      <w:i/>
      <w:iCs/>
      <w:color w:val="404040" w:themeColor="text1" w:themeTint="BF"/>
    </w:rPr>
  </w:style>
  <w:style w:type="character" w:styleId="Emphasis">
    <w:name w:val="Emphasis"/>
    <w:basedOn w:val="DefaultParagraphFont"/>
    <w:rsid w:val="006B6691"/>
    <w:rPr>
      <w:i/>
      <w:iCs/>
    </w:rPr>
  </w:style>
  <w:style w:type="character" w:styleId="BookTitle">
    <w:name w:val="Book Title"/>
    <w:uiPriority w:val="33"/>
    <w:qFormat/>
    <w:rsid w:val="00872147"/>
    <w:rPr>
      <w:i/>
      <w:iCs/>
      <w:smallCaps/>
      <w:spacing w:val="5"/>
    </w:rPr>
  </w:style>
  <w:style w:type="character" w:customStyle="1" w:styleId="UnresolvedMention1">
    <w:name w:val="Unresolved Mention1"/>
    <w:basedOn w:val="DefaultParagraphFont"/>
    <w:rsid w:val="002638D4"/>
    <w:rPr>
      <w:color w:val="605E5C"/>
      <w:shd w:val="clear" w:color="auto" w:fill="E1DFDD"/>
    </w:rPr>
  </w:style>
  <w:style w:type="paragraph" w:customStyle="1" w:styleId="p1">
    <w:name w:val="p1"/>
    <w:basedOn w:val="Normal"/>
    <w:rsid w:val="00101DEB"/>
    <w:pPr>
      <w:spacing w:before="0" w:after="0" w:line="240" w:lineRule="auto"/>
    </w:pPr>
    <w:rPr>
      <w:rFonts w:eastAsiaTheme="minorHAnsi" w:cs="Arial"/>
      <w:sz w:val="18"/>
      <w:szCs w:val="18"/>
      <w:lang w:val="en-US"/>
    </w:rPr>
  </w:style>
  <w:style w:type="paragraph" w:customStyle="1" w:styleId="p2">
    <w:name w:val="p2"/>
    <w:basedOn w:val="Normal"/>
    <w:rsid w:val="00101DEB"/>
    <w:pPr>
      <w:spacing w:before="0" w:after="0" w:line="240" w:lineRule="auto"/>
    </w:pPr>
    <w:rPr>
      <w:rFonts w:eastAsiaTheme="minorHAnsi" w:cs="Arial"/>
      <w:sz w:val="17"/>
      <w:szCs w:val="17"/>
      <w:lang w:val="en-US"/>
    </w:rPr>
  </w:style>
  <w:style w:type="character" w:customStyle="1" w:styleId="ListParagraphChar">
    <w:name w:val="List Paragraph Char"/>
    <w:aliases w:val="List Paragraph1 Char,List Paragraph11 Char,Recommendation Char"/>
    <w:basedOn w:val="DefaultParagraphFont"/>
    <w:link w:val="ListParagraph"/>
    <w:uiPriority w:val="34"/>
    <w:locked/>
    <w:rsid w:val="0091328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4549">
      <w:bodyDiv w:val="1"/>
      <w:marLeft w:val="0"/>
      <w:marRight w:val="0"/>
      <w:marTop w:val="0"/>
      <w:marBottom w:val="0"/>
      <w:divBdr>
        <w:top w:val="none" w:sz="0" w:space="0" w:color="auto"/>
        <w:left w:val="none" w:sz="0" w:space="0" w:color="auto"/>
        <w:bottom w:val="none" w:sz="0" w:space="0" w:color="auto"/>
        <w:right w:val="none" w:sz="0" w:space="0" w:color="auto"/>
      </w:divBdr>
    </w:div>
    <w:div w:id="279848337">
      <w:bodyDiv w:val="1"/>
      <w:marLeft w:val="0"/>
      <w:marRight w:val="0"/>
      <w:marTop w:val="0"/>
      <w:marBottom w:val="0"/>
      <w:divBdr>
        <w:top w:val="none" w:sz="0" w:space="0" w:color="auto"/>
        <w:left w:val="none" w:sz="0" w:space="0" w:color="auto"/>
        <w:bottom w:val="none" w:sz="0" w:space="0" w:color="auto"/>
        <w:right w:val="none" w:sz="0" w:space="0" w:color="auto"/>
      </w:divBdr>
    </w:div>
    <w:div w:id="1416635020">
      <w:bodyDiv w:val="1"/>
      <w:marLeft w:val="0"/>
      <w:marRight w:val="0"/>
      <w:marTop w:val="0"/>
      <w:marBottom w:val="0"/>
      <w:divBdr>
        <w:top w:val="none" w:sz="0" w:space="0" w:color="auto"/>
        <w:left w:val="none" w:sz="0" w:space="0" w:color="auto"/>
        <w:bottom w:val="none" w:sz="0" w:space="0" w:color="auto"/>
        <w:right w:val="none" w:sz="0" w:space="0" w:color="auto"/>
      </w:divBdr>
    </w:div>
    <w:div w:id="1420640021">
      <w:bodyDiv w:val="1"/>
      <w:marLeft w:val="0"/>
      <w:marRight w:val="0"/>
      <w:marTop w:val="0"/>
      <w:marBottom w:val="0"/>
      <w:divBdr>
        <w:top w:val="none" w:sz="0" w:space="0" w:color="auto"/>
        <w:left w:val="none" w:sz="0" w:space="0" w:color="auto"/>
        <w:bottom w:val="none" w:sz="0" w:space="0" w:color="auto"/>
        <w:right w:val="none" w:sz="0" w:space="0" w:color="auto"/>
      </w:divBdr>
    </w:div>
    <w:div w:id="1560289517">
      <w:bodyDiv w:val="1"/>
      <w:marLeft w:val="0"/>
      <w:marRight w:val="0"/>
      <w:marTop w:val="0"/>
      <w:marBottom w:val="0"/>
      <w:divBdr>
        <w:top w:val="none" w:sz="0" w:space="0" w:color="auto"/>
        <w:left w:val="none" w:sz="0" w:space="0" w:color="auto"/>
        <w:bottom w:val="none" w:sz="0" w:space="0" w:color="auto"/>
        <w:right w:val="none" w:sz="0" w:space="0" w:color="auto"/>
      </w:divBdr>
    </w:div>
    <w:div w:id="17166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agedcare.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edcare.health.gov.au/programs-services/home-care/legislated-rights-and-responsibilities-of-providers-and-consum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F98B85-C9CB-BC47-8017-7EDD68C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Kirschner</dc:creator>
  <cp:lastModifiedBy>Carolyn Akhurst</cp:lastModifiedBy>
  <cp:revision>3</cp:revision>
  <dcterms:created xsi:type="dcterms:W3CDTF">2020-01-16T00:34:00Z</dcterms:created>
  <dcterms:modified xsi:type="dcterms:W3CDTF">2020-02-06T01:03:00Z</dcterms:modified>
</cp:coreProperties>
</file>